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86B3D" w14:textId="77777777" w:rsidR="006B6BB8" w:rsidRPr="003E0B96" w:rsidRDefault="006B6BB8" w:rsidP="00937CBB">
      <w:pPr>
        <w:pStyle w:val="ListParagraph"/>
        <w:numPr>
          <w:ilvl w:val="0"/>
          <w:numId w:val="1"/>
        </w:numPr>
        <w:ind w:left="0" w:hanging="284"/>
        <w:jc w:val="both"/>
        <w:rPr>
          <w:b/>
          <w:bCs/>
          <w:sz w:val="18"/>
          <w:szCs w:val="18"/>
        </w:rPr>
      </w:pPr>
      <w:r w:rsidRPr="003E0B96">
        <w:rPr>
          <w:b/>
          <w:bCs/>
          <w:sz w:val="18"/>
          <w:szCs w:val="18"/>
        </w:rPr>
        <w:t>Objeto do Contrato</w:t>
      </w:r>
    </w:p>
    <w:p w14:paraId="4B627086" w14:textId="680F303C" w:rsidR="006B6BB8" w:rsidRPr="003E0B96" w:rsidRDefault="006B6BB8" w:rsidP="00937CBB">
      <w:pPr>
        <w:pStyle w:val="ListParagraph"/>
        <w:numPr>
          <w:ilvl w:val="1"/>
          <w:numId w:val="1"/>
        </w:numPr>
        <w:ind w:left="284" w:hanging="568"/>
        <w:jc w:val="both"/>
        <w:rPr>
          <w:b/>
          <w:bCs/>
          <w:sz w:val="18"/>
          <w:szCs w:val="18"/>
        </w:rPr>
      </w:pPr>
      <w:r w:rsidRPr="003E0B96">
        <w:rPr>
          <w:sz w:val="18"/>
          <w:szCs w:val="18"/>
        </w:rPr>
        <w:t>As presentes condições gerais (“</w:t>
      </w:r>
      <w:r w:rsidRPr="008E19BF">
        <w:rPr>
          <w:b/>
          <w:bCs/>
          <w:sz w:val="18"/>
          <w:szCs w:val="18"/>
        </w:rPr>
        <w:t>Condições Gerais</w:t>
      </w:r>
      <w:r w:rsidRPr="003E0B96">
        <w:rPr>
          <w:sz w:val="18"/>
          <w:szCs w:val="18"/>
        </w:rPr>
        <w:t xml:space="preserve">”) têm por objeto a definição dos termos e condições de compra e venda </w:t>
      </w:r>
      <w:r w:rsidR="00DE0492" w:rsidRPr="003E0B96">
        <w:rPr>
          <w:sz w:val="18"/>
          <w:szCs w:val="18"/>
        </w:rPr>
        <w:t xml:space="preserve">e instalação </w:t>
      </w:r>
      <w:r w:rsidRPr="003E0B96">
        <w:rPr>
          <w:sz w:val="18"/>
          <w:szCs w:val="18"/>
        </w:rPr>
        <w:t xml:space="preserve">de Caldeiras de Condensação </w:t>
      </w:r>
      <w:r w:rsidR="003D69D9" w:rsidRPr="00CF59A0">
        <w:rPr>
          <w:sz w:val="18"/>
          <w:szCs w:val="18"/>
        </w:rPr>
        <w:t xml:space="preserve">BAXI </w:t>
      </w:r>
      <w:proofErr w:type="spellStart"/>
      <w:r w:rsidR="003D69D9" w:rsidRPr="00CF59A0">
        <w:rPr>
          <w:sz w:val="18"/>
          <w:szCs w:val="18"/>
        </w:rPr>
        <w:t>Cubic</w:t>
      </w:r>
      <w:proofErr w:type="spellEnd"/>
      <w:r w:rsidR="003D69D9" w:rsidRPr="00CF59A0">
        <w:rPr>
          <w:sz w:val="18"/>
          <w:szCs w:val="18"/>
        </w:rPr>
        <w:t xml:space="preserve"> 28/28 F</w:t>
      </w:r>
      <w:r w:rsidRPr="00CF59A0">
        <w:rPr>
          <w:sz w:val="18"/>
          <w:szCs w:val="18"/>
        </w:rPr>
        <w:t>,</w:t>
      </w:r>
      <w:r w:rsidRPr="003E0B96">
        <w:rPr>
          <w:sz w:val="18"/>
          <w:szCs w:val="18"/>
        </w:rPr>
        <w:t xml:space="preserve"> pela </w:t>
      </w:r>
      <w:bookmarkStart w:id="0" w:name="_Hlk130749343"/>
      <w:r w:rsidRPr="003E0B96">
        <w:rPr>
          <w:sz w:val="18"/>
          <w:szCs w:val="18"/>
        </w:rPr>
        <w:t>Lisboagás GDL - Sociedade Distribuidora de Gás Natural de Lisboa, S.A.</w:t>
      </w:r>
      <w:bookmarkEnd w:id="0"/>
      <w:r w:rsidRPr="003E0B96">
        <w:rPr>
          <w:sz w:val="18"/>
          <w:szCs w:val="18"/>
        </w:rPr>
        <w:t>,</w:t>
      </w:r>
      <w:r w:rsidR="00561867" w:rsidRPr="003E0B96">
        <w:rPr>
          <w:sz w:val="18"/>
          <w:szCs w:val="18"/>
        </w:rPr>
        <w:t xml:space="preserve"> sociedade anónima</w:t>
      </w:r>
      <w:r w:rsidR="00EB1C98" w:rsidRPr="003E0B96">
        <w:rPr>
          <w:sz w:val="18"/>
          <w:szCs w:val="18"/>
        </w:rPr>
        <w:t xml:space="preserve"> </w:t>
      </w:r>
      <w:r w:rsidR="00561867" w:rsidRPr="003E0B96">
        <w:rPr>
          <w:sz w:val="18"/>
          <w:szCs w:val="18"/>
        </w:rPr>
        <w:t>com sede social na Rua Tomás da Fonseca, Torre C, 1600-209 Lisboa, freguesia de S. Domingos de Benfica</w:t>
      </w:r>
      <w:r w:rsidR="007A4DBA" w:rsidRPr="003E0B96">
        <w:rPr>
          <w:sz w:val="18"/>
          <w:szCs w:val="18"/>
        </w:rPr>
        <w:t>,</w:t>
      </w:r>
      <w:r w:rsidR="00561867" w:rsidRPr="003E0B96">
        <w:rPr>
          <w:sz w:val="18"/>
          <w:szCs w:val="18"/>
        </w:rPr>
        <w:t xml:space="preserve"> </w:t>
      </w:r>
      <w:r w:rsidR="00EB1C98" w:rsidRPr="003E0B96">
        <w:rPr>
          <w:sz w:val="18"/>
          <w:szCs w:val="18"/>
        </w:rPr>
        <w:t>pessoa cole</w:t>
      </w:r>
      <w:r w:rsidR="00625A73" w:rsidRPr="003E0B96">
        <w:rPr>
          <w:sz w:val="18"/>
          <w:szCs w:val="18"/>
        </w:rPr>
        <w:t>tiva n.º 503517666, matriculada sob o mesmo número na Conservatória do Registo Comercial de Lisboa, co</w:t>
      </w:r>
      <w:r w:rsidR="00C11811" w:rsidRPr="003E0B96">
        <w:rPr>
          <w:sz w:val="18"/>
          <w:szCs w:val="18"/>
        </w:rPr>
        <w:t>m o capital social de 60.000.000 EUR (sessenta mil euros)</w:t>
      </w:r>
      <w:r w:rsidRPr="003E0B96">
        <w:rPr>
          <w:sz w:val="18"/>
          <w:szCs w:val="18"/>
        </w:rPr>
        <w:t xml:space="preserve"> (“</w:t>
      </w:r>
      <w:r w:rsidRPr="008E19BF">
        <w:rPr>
          <w:b/>
          <w:bCs/>
          <w:sz w:val="18"/>
          <w:szCs w:val="18"/>
        </w:rPr>
        <w:t>Lisboagás</w:t>
      </w:r>
      <w:r w:rsidRPr="003E0B96">
        <w:rPr>
          <w:sz w:val="18"/>
          <w:szCs w:val="18"/>
        </w:rPr>
        <w:t xml:space="preserve">”) a </w:t>
      </w:r>
      <w:r w:rsidR="00B052EE" w:rsidRPr="003E0B96">
        <w:rPr>
          <w:sz w:val="18"/>
          <w:szCs w:val="18"/>
        </w:rPr>
        <w:t>c</w:t>
      </w:r>
      <w:r w:rsidRPr="003E0B96">
        <w:rPr>
          <w:sz w:val="18"/>
          <w:szCs w:val="18"/>
        </w:rPr>
        <w:t>lientes</w:t>
      </w:r>
      <w:r w:rsidR="00B052EE" w:rsidRPr="003E0B96">
        <w:rPr>
          <w:sz w:val="18"/>
          <w:szCs w:val="18"/>
        </w:rPr>
        <w:t xml:space="preserve"> do s</w:t>
      </w:r>
      <w:r w:rsidR="00136054" w:rsidRPr="003E0B96">
        <w:rPr>
          <w:sz w:val="18"/>
          <w:szCs w:val="18"/>
        </w:rPr>
        <w:t>egmento residencial (</w:t>
      </w:r>
      <w:r w:rsidR="009C2449">
        <w:rPr>
          <w:sz w:val="18"/>
          <w:szCs w:val="18"/>
        </w:rPr>
        <w:t>“</w:t>
      </w:r>
      <w:r w:rsidR="009C2449">
        <w:rPr>
          <w:b/>
          <w:bCs/>
          <w:sz w:val="18"/>
          <w:szCs w:val="18"/>
        </w:rPr>
        <w:t>Cliente</w:t>
      </w:r>
      <w:r w:rsidR="009C2449">
        <w:rPr>
          <w:sz w:val="18"/>
          <w:szCs w:val="18"/>
        </w:rPr>
        <w:t xml:space="preserve">” ou </w:t>
      </w:r>
      <w:r w:rsidR="00136054" w:rsidRPr="003E0B96">
        <w:rPr>
          <w:sz w:val="18"/>
          <w:szCs w:val="18"/>
        </w:rPr>
        <w:t>“</w:t>
      </w:r>
      <w:r w:rsidR="00136054" w:rsidRPr="008E19BF">
        <w:rPr>
          <w:b/>
          <w:bCs/>
          <w:sz w:val="18"/>
          <w:szCs w:val="18"/>
        </w:rPr>
        <w:t>Clientes</w:t>
      </w:r>
      <w:r w:rsidR="00136054" w:rsidRPr="003E0B96">
        <w:rPr>
          <w:sz w:val="18"/>
          <w:szCs w:val="18"/>
        </w:rPr>
        <w:t>”)</w:t>
      </w:r>
      <w:r w:rsidRPr="003E0B96">
        <w:rPr>
          <w:sz w:val="18"/>
          <w:szCs w:val="18"/>
        </w:rPr>
        <w:t>, bem como os direitos e obrigações dos Clientes e da Lisboagás no âmbito da venda do Equipamento.</w:t>
      </w:r>
    </w:p>
    <w:p w14:paraId="56BCF34D" w14:textId="77777777" w:rsidR="006B6BB8" w:rsidRPr="003E0B96" w:rsidRDefault="006B6BB8" w:rsidP="00937CBB">
      <w:pPr>
        <w:pStyle w:val="ListParagraph"/>
        <w:numPr>
          <w:ilvl w:val="1"/>
          <w:numId w:val="1"/>
        </w:numPr>
        <w:ind w:left="284" w:hanging="568"/>
        <w:jc w:val="both"/>
        <w:rPr>
          <w:sz w:val="18"/>
          <w:szCs w:val="18"/>
        </w:rPr>
      </w:pPr>
      <w:r w:rsidRPr="003E0B96">
        <w:rPr>
          <w:sz w:val="18"/>
          <w:szCs w:val="18"/>
        </w:rPr>
        <w:t>A presente oferta abrange apenas a entrega de Equipamentos em Portugal continental.</w:t>
      </w:r>
    </w:p>
    <w:p w14:paraId="5F9D2733" w14:textId="48291DF9" w:rsidR="006B6BB8" w:rsidRPr="003E0B96" w:rsidRDefault="006B6BB8" w:rsidP="008366F6">
      <w:pPr>
        <w:pStyle w:val="ListParagraph"/>
        <w:numPr>
          <w:ilvl w:val="1"/>
          <w:numId w:val="1"/>
        </w:numPr>
        <w:ind w:left="284" w:hanging="568"/>
        <w:jc w:val="both"/>
        <w:rPr>
          <w:sz w:val="18"/>
          <w:szCs w:val="18"/>
        </w:rPr>
      </w:pPr>
      <w:r w:rsidRPr="003E0B96">
        <w:rPr>
          <w:sz w:val="18"/>
          <w:szCs w:val="18"/>
        </w:rPr>
        <w:t xml:space="preserve">O fornecimento do Equipamento rege-se ainda pelas Condições Particulares constantes no Formulário preenchido pelo Cliente, as quais em conjunto com as presentes Condições Gerais e respetivos Anexos constituem o </w:t>
      </w:r>
      <w:r w:rsidR="00285151" w:rsidRPr="003E0B96">
        <w:rPr>
          <w:sz w:val="18"/>
          <w:szCs w:val="18"/>
        </w:rPr>
        <w:t>c</w:t>
      </w:r>
      <w:r w:rsidRPr="003E0B96">
        <w:rPr>
          <w:sz w:val="18"/>
          <w:szCs w:val="18"/>
        </w:rPr>
        <w:t xml:space="preserve">ontrato de </w:t>
      </w:r>
      <w:r w:rsidR="00285151" w:rsidRPr="003E0B96">
        <w:rPr>
          <w:sz w:val="18"/>
          <w:szCs w:val="18"/>
        </w:rPr>
        <w:t>c</w:t>
      </w:r>
      <w:r w:rsidRPr="003E0B96">
        <w:rPr>
          <w:sz w:val="18"/>
          <w:szCs w:val="18"/>
        </w:rPr>
        <w:t xml:space="preserve">ompra e </w:t>
      </w:r>
      <w:r w:rsidR="00285151" w:rsidRPr="003E0B96">
        <w:rPr>
          <w:sz w:val="18"/>
          <w:szCs w:val="18"/>
        </w:rPr>
        <w:t>v</w:t>
      </w:r>
      <w:r w:rsidRPr="003E0B96">
        <w:rPr>
          <w:sz w:val="18"/>
          <w:szCs w:val="18"/>
        </w:rPr>
        <w:t>enda do Equipamento (“</w:t>
      </w:r>
      <w:r w:rsidRPr="00E32CEC">
        <w:rPr>
          <w:b/>
          <w:bCs/>
          <w:sz w:val="18"/>
          <w:szCs w:val="18"/>
        </w:rPr>
        <w:t>Contrato</w:t>
      </w:r>
      <w:r w:rsidRPr="003E0B96">
        <w:rPr>
          <w:sz w:val="18"/>
          <w:szCs w:val="18"/>
        </w:rPr>
        <w:t>”).</w:t>
      </w:r>
    </w:p>
    <w:p w14:paraId="6E2FCD0A" w14:textId="77777777" w:rsidR="008366F6" w:rsidRPr="003E0B96" w:rsidRDefault="008366F6" w:rsidP="008366F6">
      <w:pPr>
        <w:pStyle w:val="ListParagraph"/>
        <w:ind w:left="284"/>
        <w:jc w:val="both"/>
        <w:rPr>
          <w:sz w:val="18"/>
          <w:szCs w:val="18"/>
        </w:rPr>
      </w:pPr>
    </w:p>
    <w:p w14:paraId="1085AA88" w14:textId="7617D4B8" w:rsidR="006B6BB8" w:rsidRPr="003E0B96" w:rsidRDefault="006B6BB8" w:rsidP="00937CBB">
      <w:pPr>
        <w:pStyle w:val="ListParagraph"/>
        <w:numPr>
          <w:ilvl w:val="0"/>
          <w:numId w:val="1"/>
        </w:numPr>
        <w:ind w:left="0" w:hanging="284"/>
        <w:jc w:val="both"/>
        <w:rPr>
          <w:b/>
          <w:bCs/>
          <w:sz w:val="18"/>
          <w:szCs w:val="18"/>
        </w:rPr>
      </w:pPr>
      <w:r w:rsidRPr="003E0B96">
        <w:rPr>
          <w:b/>
          <w:bCs/>
          <w:sz w:val="18"/>
          <w:szCs w:val="18"/>
        </w:rPr>
        <w:t xml:space="preserve">Entrega </w:t>
      </w:r>
      <w:r w:rsidR="00C738F2" w:rsidRPr="003E0B96">
        <w:rPr>
          <w:b/>
          <w:bCs/>
          <w:sz w:val="18"/>
          <w:szCs w:val="18"/>
        </w:rPr>
        <w:t xml:space="preserve">e instalação </w:t>
      </w:r>
      <w:r w:rsidRPr="003E0B96">
        <w:rPr>
          <w:b/>
          <w:bCs/>
          <w:sz w:val="18"/>
          <w:szCs w:val="18"/>
        </w:rPr>
        <w:t>do Equipamento</w:t>
      </w:r>
    </w:p>
    <w:p w14:paraId="0A3AD407" w14:textId="2A01993C" w:rsidR="006B6BB8" w:rsidRPr="00CF59A0" w:rsidRDefault="006B6BB8" w:rsidP="00937CBB">
      <w:pPr>
        <w:pStyle w:val="ListParagraph"/>
        <w:numPr>
          <w:ilvl w:val="1"/>
          <w:numId w:val="1"/>
        </w:numPr>
        <w:ind w:left="284" w:hanging="568"/>
        <w:jc w:val="both"/>
        <w:rPr>
          <w:strike/>
          <w:sz w:val="18"/>
          <w:szCs w:val="18"/>
        </w:rPr>
      </w:pPr>
      <w:r w:rsidRPr="003E0B96">
        <w:rPr>
          <w:sz w:val="18"/>
          <w:szCs w:val="18"/>
        </w:rPr>
        <w:t>A Lisboagás garante ao Cliente que o Equipamento será entregue livre de quaisquer ónus ou encargos na morada</w:t>
      </w:r>
      <w:r w:rsidR="0062156C" w:rsidRPr="003E0B96">
        <w:rPr>
          <w:sz w:val="18"/>
          <w:szCs w:val="18"/>
        </w:rPr>
        <w:t xml:space="preserve"> da</w:t>
      </w:r>
      <w:r w:rsidRPr="003E0B96">
        <w:rPr>
          <w:sz w:val="18"/>
          <w:szCs w:val="18"/>
        </w:rPr>
        <w:t xml:space="preserve"> </w:t>
      </w:r>
      <w:r w:rsidR="00965459">
        <w:rPr>
          <w:sz w:val="18"/>
          <w:szCs w:val="18"/>
        </w:rPr>
        <w:t>i</w:t>
      </w:r>
      <w:r w:rsidR="0062156C" w:rsidRPr="003E0B96">
        <w:rPr>
          <w:sz w:val="18"/>
          <w:szCs w:val="18"/>
        </w:rPr>
        <w:t xml:space="preserve">nstalação de </w:t>
      </w:r>
      <w:r w:rsidR="00965459">
        <w:rPr>
          <w:sz w:val="18"/>
          <w:szCs w:val="18"/>
        </w:rPr>
        <w:t>c</w:t>
      </w:r>
      <w:r w:rsidR="0062156C" w:rsidRPr="003E0B96">
        <w:rPr>
          <w:sz w:val="18"/>
          <w:szCs w:val="18"/>
        </w:rPr>
        <w:t>onsumo</w:t>
      </w:r>
      <w:r w:rsidR="00965459">
        <w:rPr>
          <w:sz w:val="18"/>
          <w:szCs w:val="18"/>
        </w:rPr>
        <w:t xml:space="preserve"> (“</w:t>
      </w:r>
      <w:r w:rsidR="00965459" w:rsidRPr="00965459">
        <w:rPr>
          <w:b/>
          <w:bCs/>
          <w:sz w:val="18"/>
          <w:szCs w:val="18"/>
        </w:rPr>
        <w:t>IC</w:t>
      </w:r>
      <w:r w:rsidR="00965459">
        <w:rPr>
          <w:sz w:val="18"/>
          <w:szCs w:val="18"/>
        </w:rPr>
        <w:t>”)</w:t>
      </w:r>
      <w:r w:rsidR="0062156C" w:rsidRPr="003E0B96">
        <w:rPr>
          <w:sz w:val="18"/>
          <w:szCs w:val="18"/>
        </w:rPr>
        <w:t xml:space="preserve"> </w:t>
      </w:r>
      <w:r w:rsidRPr="003E0B96">
        <w:rPr>
          <w:sz w:val="18"/>
          <w:szCs w:val="18"/>
        </w:rPr>
        <w:t>indicada pelo Cliente no Formulário</w:t>
      </w:r>
    </w:p>
    <w:p w14:paraId="2EB5F40D" w14:textId="428DEC2A" w:rsidR="002B6B29" w:rsidRPr="00CF59A0" w:rsidRDefault="002B6B29" w:rsidP="009C2449">
      <w:pPr>
        <w:pStyle w:val="ListParagraph"/>
        <w:numPr>
          <w:ilvl w:val="1"/>
          <w:numId w:val="1"/>
        </w:numPr>
        <w:ind w:left="284" w:hanging="568"/>
        <w:jc w:val="both"/>
        <w:rPr>
          <w:sz w:val="18"/>
          <w:szCs w:val="18"/>
        </w:rPr>
      </w:pPr>
      <w:bookmarkStart w:id="1" w:name="_Ref422478689"/>
      <w:r w:rsidRPr="003A34FA">
        <w:rPr>
          <w:sz w:val="18"/>
          <w:szCs w:val="18"/>
        </w:rPr>
        <w:t xml:space="preserve">A instalação do Equipamento ocorrerá após o pagamento do Preço por parte do Cliente e em data a acordar entre ambos, não devendo, no entanto, essa data exceder o período de </w:t>
      </w:r>
      <w:r w:rsidR="008E5140" w:rsidRPr="00CF59A0">
        <w:rPr>
          <w:sz w:val="18"/>
          <w:szCs w:val="18"/>
        </w:rPr>
        <w:t>5</w:t>
      </w:r>
      <w:r w:rsidRPr="00CF59A0">
        <w:rPr>
          <w:sz w:val="18"/>
          <w:szCs w:val="18"/>
        </w:rPr>
        <w:t xml:space="preserve"> semanas.</w:t>
      </w:r>
    </w:p>
    <w:p w14:paraId="69A6D1CE" w14:textId="1EAC305F" w:rsidR="006B6BB8" w:rsidRPr="003A34FA" w:rsidRDefault="006B6BB8" w:rsidP="00937CBB">
      <w:pPr>
        <w:pStyle w:val="ListParagraph"/>
        <w:numPr>
          <w:ilvl w:val="1"/>
          <w:numId w:val="1"/>
        </w:numPr>
        <w:ind w:left="284" w:hanging="568"/>
        <w:jc w:val="both"/>
        <w:rPr>
          <w:sz w:val="18"/>
          <w:szCs w:val="18"/>
        </w:rPr>
      </w:pPr>
      <w:r w:rsidRPr="003A34FA">
        <w:rPr>
          <w:sz w:val="18"/>
          <w:szCs w:val="18"/>
        </w:rPr>
        <w:t xml:space="preserve">A propriedade do Equipamento transfere-se para o Cliente </w:t>
      </w:r>
      <w:bookmarkEnd w:id="1"/>
      <w:r w:rsidRPr="003A34FA">
        <w:rPr>
          <w:sz w:val="18"/>
          <w:szCs w:val="18"/>
        </w:rPr>
        <w:t>na data do pagamento do preço.</w:t>
      </w:r>
    </w:p>
    <w:p w14:paraId="4EC869E1" w14:textId="692C4A74" w:rsidR="006B6BB8" w:rsidRPr="003E0B96" w:rsidRDefault="006B6BB8" w:rsidP="00937CBB">
      <w:pPr>
        <w:pStyle w:val="ListParagraph"/>
        <w:numPr>
          <w:ilvl w:val="1"/>
          <w:numId w:val="1"/>
        </w:numPr>
        <w:ind w:left="284" w:hanging="568"/>
        <w:jc w:val="both"/>
        <w:rPr>
          <w:sz w:val="18"/>
          <w:szCs w:val="18"/>
        </w:rPr>
      </w:pPr>
      <w:r w:rsidRPr="003E0B96">
        <w:rPr>
          <w:sz w:val="18"/>
          <w:szCs w:val="18"/>
        </w:rPr>
        <w:t xml:space="preserve">A guarda, conservação e transporte do Equipamento são da exclusiva responsabilidade da Lisboagás até à data da respetiva aceitação pelo Cliente, a qual terá lugar na data da entrega do Equipamento no </w:t>
      </w:r>
      <w:r w:rsidR="00DE3B74">
        <w:rPr>
          <w:sz w:val="18"/>
          <w:szCs w:val="18"/>
        </w:rPr>
        <w:t>l</w:t>
      </w:r>
      <w:r w:rsidRPr="003E0B96">
        <w:rPr>
          <w:sz w:val="18"/>
          <w:szCs w:val="18"/>
        </w:rPr>
        <w:t>ocal da IC, na morada indicada no Formulário.</w:t>
      </w:r>
    </w:p>
    <w:p w14:paraId="5A3D62EE" w14:textId="3ECB0FE4" w:rsidR="002C0122" w:rsidRPr="003E0B96" w:rsidRDefault="002C0122" w:rsidP="008366F6">
      <w:pPr>
        <w:pStyle w:val="ListParagraph"/>
        <w:numPr>
          <w:ilvl w:val="1"/>
          <w:numId w:val="1"/>
        </w:numPr>
        <w:ind w:left="284" w:hanging="568"/>
        <w:jc w:val="both"/>
        <w:rPr>
          <w:sz w:val="18"/>
          <w:szCs w:val="18"/>
        </w:rPr>
      </w:pPr>
      <w:r w:rsidRPr="003E0B96">
        <w:rPr>
          <w:sz w:val="18"/>
          <w:szCs w:val="18"/>
        </w:rPr>
        <w:t>O Cliente reconhece que os trabalhos a realizar no âmbito do presente Contrato poderão ser executados por um terceiro devidamente qualificado (“</w:t>
      </w:r>
      <w:r w:rsidRPr="008964EB">
        <w:rPr>
          <w:b/>
          <w:bCs/>
          <w:sz w:val="18"/>
          <w:szCs w:val="18"/>
        </w:rPr>
        <w:t>Empresa Instaladora</w:t>
      </w:r>
      <w:r w:rsidRPr="003E0B96">
        <w:rPr>
          <w:sz w:val="18"/>
          <w:szCs w:val="18"/>
        </w:rPr>
        <w:t>”), cuja designação compete única e exclusivamente à Lisboagás.</w:t>
      </w:r>
    </w:p>
    <w:p w14:paraId="12D65AD7" w14:textId="03F70466" w:rsidR="00631C96" w:rsidRDefault="00631C96" w:rsidP="008366F6">
      <w:pPr>
        <w:pStyle w:val="ListParagraph"/>
        <w:numPr>
          <w:ilvl w:val="1"/>
          <w:numId w:val="1"/>
        </w:numPr>
        <w:ind w:left="284" w:hanging="568"/>
        <w:jc w:val="both"/>
        <w:rPr>
          <w:sz w:val="18"/>
          <w:szCs w:val="18"/>
        </w:rPr>
      </w:pPr>
      <w:r w:rsidRPr="003E0B96">
        <w:rPr>
          <w:sz w:val="18"/>
          <w:szCs w:val="18"/>
        </w:rPr>
        <w:t>O Cliente obriga-se a permitir o acesso</w:t>
      </w:r>
      <w:r w:rsidR="008964EB">
        <w:rPr>
          <w:sz w:val="18"/>
          <w:szCs w:val="18"/>
        </w:rPr>
        <w:t xml:space="preserve"> da Lisboagás</w:t>
      </w:r>
      <w:r w:rsidR="00712206">
        <w:rPr>
          <w:sz w:val="18"/>
          <w:szCs w:val="18"/>
        </w:rPr>
        <w:t xml:space="preserve">, </w:t>
      </w:r>
      <w:r w:rsidR="008964EB">
        <w:rPr>
          <w:sz w:val="18"/>
          <w:szCs w:val="18"/>
        </w:rPr>
        <w:t>da Empresa Instaladora</w:t>
      </w:r>
      <w:r w:rsidR="00712206">
        <w:rPr>
          <w:sz w:val="18"/>
          <w:szCs w:val="18"/>
        </w:rPr>
        <w:t xml:space="preserve">, bem como de qualquer terceiro </w:t>
      </w:r>
      <w:r w:rsidR="00A00C25">
        <w:rPr>
          <w:sz w:val="18"/>
          <w:szCs w:val="18"/>
        </w:rPr>
        <w:t>por estas contratado</w:t>
      </w:r>
      <w:r w:rsidRPr="003E0B96">
        <w:rPr>
          <w:sz w:val="18"/>
          <w:szCs w:val="18"/>
        </w:rPr>
        <w:t xml:space="preserve"> ao </w:t>
      </w:r>
      <w:r w:rsidR="003253B6" w:rsidRPr="003E0B96">
        <w:rPr>
          <w:sz w:val="18"/>
          <w:szCs w:val="18"/>
        </w:rPr>
        <w:t>l</w:t>
      </w:r>
      <w:r w:rsidRPr="003E0B96">
        <w:rPr>
          <w:sz w:val="18"/>
          <w:szCs w:val="18"/>
        </w:rPr>
        <w:t xml:space="preserve">ocal </w:t>
      </w:r>
      <w:r w:rsidR="00C5535F" w:rsidRPr="003E0B96">
        <w:rPr>
          <w:sz w:val="18"/>
          <w:szCs w:val="18"/>
        </w:rPr>
        <w:t>da I</w:t>
      </w:r>
      <w:r w:rsidR="008964EB">
        <w:rPr>
          <w:sz w:val="18"/>
          <w:szCs w:val="18"/>
        </w:rPr>
        <w:t>C</w:t>
      </w:r>
      <w:r w:rsidR="003253B6" w:rsidRPr="003E0B96">
        <w:rPr>
          <w:sz w:val="18"/>
          <w:szCs w:val="18"/>
        </w:rPr>
        <w:t xml:space="preserve">, em concreto </w:t>
      </w:r>
      <w:r w:rsidR="001140BC" w:rsidRPr="003E0B96">
        <w:rPr>
          <w:sz w:val="18"/>
          <w:szCs w:val="18"/>
        </w:rPr>
        <w:t>a</w:t>
      </w:r>
      <w:r w:rsidR="003253B6" w:rsidRPr="003E0B96">
        <w:rPr>
          <w:sz w:val="18"/>
          <w:szCs w:val="18"/>
        </w:rPr>
        <w:t xml:space="preserve">o local onde irá ser </w:t>
      </w:r>
      <w:r w:rsidR="00080A63" w:rsidRPr="003E0B96">
        <w:rPr>
          <w:sz w:val="18"/>
          <w:szCs w:val="18"/>
        </w:rPr>
        <w:t>realizada a instalação do Equipamento,</w:t>
      </w:r>
      <w:r w:rsidR="00C5535F" w:rsidRPr="003E0B96">
        <w:rPr>
          <w:sz w:val="18"/>
          <w:szCs w:val="18"/>
        </w:rPr>
        <w:t xml:space="preserve"> e a manter os loca</w:t>
      </w:r>
      <w:r w:rsidR="00B02280" w:rsidRPr="003E0B96">
        <w:rPr>
          <w:sz w:val="18"/>
          <w:szCs w:val="18"/>
        </w:rPr>
        <w:t>i</w:t>
      </w:r>
      <w:r w:rsidR="00C5535F" w:rsidRPr="003E0B96">
        <w:rPr>
          <w:sz w:val="18"/>
          <w:szCs w:val="18"/>
        </w:rPr>
        <w:t>s de trabalho completamente desimpedidos, livres de quaisquer obstáculos e em condições de ser possível realizar</w:t>
      </w:r>
      <w:r w:rsidR="00B02280" w:rsidRPr="003E0B96">
        <w:rPr>
          <w:sz w:val="18"/>
          <w:szCs w:val="18"/>
        </w:rPr>
        <w:t xml:space="preserve"> a instalação do Equipamento. </w:t>
      </w:r>
    </w:p>
    <w:p w14:paraId="1D202EBA" w14:textId="4569EC8D" w:rsidR="007C2DBE" w:rsidRPr="003E0B96" w:rsidRDefault="007C2DBE" w:rsidP="008366F6">
      <w:pPr>
        <w:pStyle w:val="ListParagraph"/>
        <w:numPr>
          <w:ilvl w:val="1"/>
          <w:numId w:val="1"/>
        </w:numPr>
        <w:ind w:left="284" w:hanging="568"/>
        <w:jc w:val="both"/>
        <w:rPr>
          <w:sz w:val="18"/>
          <w:szCs w:val="18"/>
        </w:rPr>
      </w:pPr>
      <w:r>
        <w:rPr>
          <w:sz w:val="18"/>
          <w:szCs w:val="18"/>
        </w:rPr>
        <w:t xml:space="preserve">A Lisboagás e/ou a Empresa Instaladora irão, em momento prévio à instalação, promover a </w:t>
      </w:r>
      <w:r w:rsidR="00AF3C23">
        <w:rPr>
          <w:sz w:val="18"/>
          <w:szCs w:val="18"/>
        </w:rPr>
        <w:t>desinstalação do equipamento existente na IC (“</w:t>
      </w:r>
      <w:r w:rsidR="00AF3C23">
        <w:rPr>
          <w:b/>
          <w:bCs/>
          <w:sz w:val="18"/>
          <w:szCs w:val="18"/>
        </w:rPr>
        <w:t>Equipamento não Eficiente</w:t>
      </w:r>
      <w:r w:rsidR="00AF3C23">
        <w:rPr>
          <w:sz w:val="18"/>
          <w:szCs w:val="18"/>
        </w:rPr>
        <w:t>”)</w:t>
      </w:r>
      <w:r w:rsidR="00416EF7">
        <w:rPr>
          <w:sz w:val="18"/>
          <w:szCs w:val="18"/>
        </w:rPr>
        <w:t xml:space="preserve"> e, mediante preenchimento e entrega </w:t>
      </w:r>
      <w:r w:rsidR="00AB076B" w:rsidRPr="00CF59A0">
        <w:rPr>
          <w:sz w:val="18"/>
          <w:szCs w:val="18"/>
        </w:rPr>
        <w:t>de formulário</w:t>
      </w:r>
      <w:r w:rsidR="002A7237">
        <w:rPr>
          <w:sz w:val="18"/>
          <w:szCs w:val="18"/>
        </w:rPr>
        <w:t xml:space="preserve"> por parte do Cliente, remet</w:t>
      </w:r>
      <w:r w:rsidR="00A554C3">
        <w:rPr>
          <w:sz w:val="18"/>
          <w:szCs w:val="18"/>
        </w:rPr>
        <w:t>ê-lo para abate.</w:t>
      </w:r>
    </w:p>
    <w:p w14:paraId="274EE1A4" w14:textId="44EC3704" w:rsidR="006F12BE" w:rsidRPr="003E0B96" w:rsidRDefault="000267DF" w:rsidP="006F12BE">
      <w:pPr>
        <w:pStyle w:val="ListParagraph"/>
        <w:numPr>
          <w:ilvl w:val="1"/>
          <w:numId w:val="1"/>
        </w:numPr>
        <w:ind w:left="284" w:hanging="568"/>
        <w:jc w:val="both"/>
        <w:rPr>
          <w:sz w:val="18"/>
          <w:szCs w:val="18"/>
        </w:rPr>
      </w:pPr>
      <w:r w:rsidRPr="003E0B96">
        <w:rPr>
          <w:sz w:val="18"/>
          <w:szCs w:val="18"/>
        </w:rPr>
        <w:t xml:space="preserve">A instalação do Equipamento incluirá a realização das inspeções e </w:t>
      </w:r>
      <w:r w:rsidR="00965E3C" w:rsidRPr="003E0B96">
        <w:rPr>
          <w:sz w:val="18"/>
          <w:szCs w:val="18"/>
        </w:rPr>
        <w:t xml:space="preserve">a emissão dos certificados </w:t>
      </w:r>
      <w:r w:rsidR="00F540FE" w:rsidRPr="003E0B96">
        <w:rPr>
          <w:sz w:val="18"/>
          <w:szCs w:val="18"/>
        </w:rPr>
        <w:t>legalmente exigidos</w:t>
      </w:r>
      <w:r w:rsidR="00D14778" w:rsidRPr="003E0B96">
        <w:rPr>
          <w:sz w:val="18"/>
          <w:szCs w:val="18"/>
        </w:rPr>
        <w:t>.</w:t>
      </w:r>
    </w:p>
    <w:p w14:paraId="7A2D38C2" w14:textId="77777777" w:rsidR="006F12BE" w:rsidRPr="003E0B96" w:rsidRDefault="006F12BE" w:rsidP="006F12BE">
      <w:pPr>
        <w:pStyle w:val="ListParagraph"/>
        <w:jc w:val="both"/>
        <w:rPr>
          <w:sz w:val="18"/>
          <w:szCs w:val="18"/>
        </w:rPr>
      </w:pPr>
    </w:p>
    <w:p w14:paraId="64D72D61" w14:textId="7DD8BF92" w:rsidR="006F12BE" w:rsidRPr="003E0B96" w:rsidRDefault="005F5EFD" w:rsidP="006F12BE">
      <w:pPr>
        <w:pStyle w:val="ListParagraph"/>
        <w:numPr>
          <w:ilvl w:val="0"/>
          <w:numId w:val="1"/>
        </w:numPr>
        <w:ind w:left="0" w:hanging="284"/>
        <w:jc w:val="both"/>
        <w:rPr>
          <w:b/>
          <w:bCs/>
          <w:sz w:val="18"/>
          <w:szCs w:val="18"/>
        </w:rPr>
      </w:pPr>
      <w:r w:rsidRPr="003E0B96">
        <w:rPr>
          <w:b/>
          <w:bCs/>
          <w:sz w:val="18"/>
          <w:szCs w:val="18"/>
        </w:rPr>
        <w:t xml:space="preserve">Serviços </w:t>
      </w:r>
      <w:r w:rsidR="008F735D" w:rsidRPr="003E0B96">
        <w:rPr>
          <w:b/>
          <w:bCs/>
          <w:sz w:val="18"/>
          <w:szCs w:val="18"/>
        </w:rPr>
        <w:t xml:space="preserve">Standard e Serviços </w:t>
      </w:r>
      <w:r w:rsidR="006F12BE" w:rsidRPr="003E0B96">
        <w:rPr>
          <w:b/>
          <w:bCs/>
          <w:sz w:val="18"/>
          <w:szCs w:val="18"/>
        </w:rPr>
        <w:t>Adicionais</w:t>
      </w:r>
    </w:p>
    <w:p w14:paraId="03B6E6D1" w14:textId="1C561C4E" w:rsidR="006F12BE" w:rsidRPr="003E0B96" w:rsidRDefault="00A41D6D" w:rsidP="004D1688">
      <w:pPr>
        <w:pStyle w:val="ListParagraph"/>
        <w:numPr>
          <w:ilvl w:val="1"/>
          <w:numId w:val="1"/>
        </w:numPr>
        <w:ind w:left="284" w:hanging="568"/>
        <w:jc w:val="both"/>
        <w:rPr>
          <w:sz w:val="18"/>
          <w:szCs w:val="18"/>
        </w:rPr>
      </w:pPr>
      <w:r w:rsidRPr="003E0B96">
        <w:rPr>
          <w:sz w:val="18"/>
          <w:szCs w:val="18"/>
        </w:rPr>
        <w:t>Para efeitos de execução do presente Contrato</w:t>
      </w:r>
      <w:r w:rsidR="00996D24" w:rsidRPr="003E0B96">
        <w:rPr>
          <w:sz w:val="18"/>
          <w:szCs w:val="18"/>
        </w:rPr>
        <w:t xml:space="preserve"> serão realizados os Serviços Standard, tal como elencados no Formulário constante das Condições Particulares, podendo, eventualmente, </w:t>
      </w:r>
      <w:r w:rsidR="002E7467">
        <w:rPr>
          <w:sz w:val="18"/>
          <w:szCs w:val="18"/>
        </w:rPr>
        <w:t>demonstrar</w:t>
      </w:r>
      <w:r w:rsidR="00A00C25">
        <w:rPr>
          <w:sz w:val="18"/>
          <w:szCs w:val="18"/>
        </w:rPr>
        <w:t>-se</w:t>
      </w:r>
      <w:r w:rsidR="002E7467">
        <w:rPr>
          <w:sz w:val="18"/>
          <w:szCs w:val="18"/>
        </w:rPr>
        <w:t xml:space="preserve"> necessári</w:t>
      </w:r>
      <w:r w:rsidR="00C20614">
        <w:rPr>
          <w:sz w:val="18"/>
          <w:szCs w:val="18"/>
        </w:rPr>
        <w:t>a</w:t>
      </w:r>
      <w:r w:rsidR="002E7467">
        <w:rPr>
          <w:sz w:val="18"/>
          <w:szCs w:val="18"/>
        </w:rPr>
        <w:t xml:space="preserve"> e/ou desejável </w:t>
      </w:r>
      <w:r w:rsidR="00996D24" w:rsidRPr="003E0B96">
        <w:rPr>
          <w:sz w:val="18"/>
          <w:szCs w:val="18"/>
        </w:rPr>
        <w:t>realizar</w:t>
      </w:r>
      <w:r w:rsidR="00B96F38" w:rsidRPr="003E0B96">
        <w:rPr>
          <w:sz w:val="18"/>
          <w:szCs w:val="18"/>
        </w:rPr>
        <w:t>-se</w:t>
      </w:r>
      <w:r w:rsidR="00996D24" w:rsidRPr="003E0B96">
        <w:rPr>
          <w:sz w:val="18"/>
          <w:szCs w:val="18"/>
        </w:rPr>
        <w:t xml:space="preserve"> serviços que não sejam um Serviço Standard</w:t>
      </w:r>
      <w:r w:rsidR="00B96F38" w:rsidRPr="003E0B96">
        <w:rPr>
          <w:sz w:val="18"/>
          <w:szCs w:val="18"/>
        </w:rPr>
        <w:t xml:space="preserve"> (“</w:t>
      </w:r>
      <w:r w:rsidR="00B96F38" w:rsidRPr="008E76E3">
        <w:rPr>
          <w:b/>
          <w:bCs/>
          <w:sz w:val="18"/>
          <w:szCs w:val="18"/>
        </w:rPr>
        <w:t>Serviços A</w:t>
      </w:r>
      <w:r w:rsidR="005E0BA2" w:rsidRPr="008E76E3">
        <w:rPr>
          <w:b/>
          <w:bCs/>
          <w:sz w:val="18"/>
          <w:szCs w:val="18"/>
        </w:rPr>
        <w:t>dicionais</w:t>
      </w:r>
      <w:r w:rsidR="005E0BA2" w:rsidRPr="003E0B96">
        <w:rPr>
          <w:sz w:val="18"/>
          <w:szCs w:val="18"/>
        </w:rPr>
        <w:t>”).</w:t>
      </w:r>
    </w:p>
    <w:p w14:paraId="3935EBF2" w14:textId="3DA687E2" w:rsidR="005E0BA2" w:rsidRDefault="005E0BA2" w:rsidP="004D1688">
      <w:pPr>
        <w:pStyle w:val="ListParagraph"/>
        <w:numPr>
          <w:ilvl w:val="1"/>
          <w:numId w:val="1"/>
        </w:numPr>
        <w:ind w:left="284" w:hanging="568"/>
        <w:jc w:val="both"/>
        <w:rPr>
          <w:sz w:val="18"/>
          <w:szCs w:val="18"/>
        </w:rPr>
      </w:pPr>
      <w:r w:rsidRPr="003E0B96">
        <w:rPr>
          <w:sz w:val="18"/>
          <w:szCs w:val="18"/>
        </w:rPr>
        <w:t xml:space="preserve">Os Serviços Adicionais </w:t>
      </w:r>
      <w:r w:rsidR="00131C9E">
        <w:rPr>
          <w:sz w:val="18"/>
          <w:szCs w:val="18"/>
        </w:rPr>
        <w:t>são da responsabilidade da Empresa Instaladora, ficando a respetiva orçamentação e contratação a cargo daquela.</w:t>
      </w:r>
    </w:p>
    <w:p w14:paraId="38B7ADA9" w14:textId="70C3C4B4" w:rsidR="002A724D" w:rsidRPr="003E0B96" w:rsidRDefault="005D264F" w:rsidP="004D1688">
      <w:pPr>
        <w:pStyle w:val="ListParagraph"/>
        <w:numPr>
          <w:ilvl w:val="1"/>
          <w:numId w:val="1"/>
        </w:numPr>
        <w:ind w:left="284" w:hanging="568"/>
        <w:jc w:val="both"/>
        <w:rPr>
          <w:sz w:val="18"/>
          <w:szCs w:val="18"/>
        </w:rPr>
      </w:pPr>
      <w:r>
        <w:rPr>
          <w:sz w:val="18"/>
          <w:szCs w:val="18"/>
        </w:rPr>
        <w:t xml:space="preserve">Excluem-se desta obrigatoriedade os trabalhos de construção civil, eletricidade, pintura, entre outros, podendo estes serem contratados a uma terceira parte, e não serão motivo para considerar o processo de candidatura como não elegíveis. </w:t>
      </w:r>
    </w:p>
    <w:p w14:paraId="093752E7" w14:textId="6F0F2FD7" w:rsidR="005E0BA2" w:rsidRPr="003E0B96" w:rsidRDefault="00705624" w:rsidP="004D1688">
      <w:pPr>
        <w:pStyle w:val="ListParagraph"/>
        <w:numPr>
          <w:ilvl w:val="1"/>
          <w:numId w:val="1"/>
        </w:numPr>
        <w:ind w:left="284" w:hanging="568"/>
        <w:jc w:val="both"/>
        <w:rPr>
          <w:sz w:val="18"/>
          <w:szCs w:val="18"/>
        </w:rPr>
      </w:pPr>
      <w:r w:rsidRPr="003E0B96">
        <w:rPr>
          <w:sz w:val="18"/>
          <w:szCs w:val="18"/>
        </w:rPr>
        <w:t>Para efeitos da cláusula</w:t>
      </w:r>
      <w:r w:rsidR="005D264F">
        <w:rPr>
          <w:sz w:val="18"/>
          <w:szCs w:val="18"/>
        </w:rPr>
        <w:t>3.2.</w:t>
      </w:r>
      <w:r w:rsidRPr="003E0B96">
        <w:rPr>
          <w:sz w:val="18"/>
          <w:szCs w:val="18"/>
        </w:rPr>
        <w:t xml:space="preserve">, </w:t>
      </w:r>
      <w:r w:rsidR="00131C9E">
        <w:rPr>
          <w:sz w:val="18"/>
          <w:szCs w:val="18"/>
        </w:rPr>
        <w:t>e na eventualidade de ser</w:t>
      </w:r>
      <w:r w:rsidR="00B16F9A">
        <w:rPr>
          <w:sz w:val="18"/>
          <w:szCs w:val="18"/>
        </w:rPr>
        <w:t xml:space="preserve">em necessários Serviços adicionais, </w:t>
      </w:r>
      <w:r w:rsidR="00F860B6" w:rsidRPr="003E0B96">
        <w:rPr>
          <w:sz w:val="18"/>
          <w:szCs w:val="18"/>
        </w:rPr>
        <w:t>a Empresa Instaladora apenas iniciará a execução do processo de instalação do Equipamento após os Serviços Adicionais terem sido aceites</w:t>
      </w:r>
      <w:r w:rsidR="009971F7" w:rsidRPr="003E0B96">
        <w:rPr>
          <w:sz w:val="18"/>
          <w:szCs w:val="18"/>
        </w:rPr>
        <w:t>,</w:t>
      </w:r>
      <w:r w:rsidR="00F860B6" w:rsidRPr="003E0B96">
        <w:rPr>
          <w:sz w:val="18"/>
          <w:szCs w:val="18"/>
        </w:rPr>
        <w:t xml:space="preserve"> aprovados </w:t>
      </w:r>
      <w:r w:rsidR="009971F7" w:rsidRPr="003E0B96">
        <w:rPr>
          <w:sz w:val="18"/>
          <w:szCs w:val="18"/>
        </w:rPr>
        <w:t xml:space="preserve">e pagos </w:t>
      </w:r>
      <w:r w:rsidR="00F860B6" w:rsidRPr="003E0B96">
        <w:rPr>
          <w:sz w:val="18"/>
          <w:szCs w:val="18"/>
        </w:rPr>
        <w:t>pelo Cliente</w:t>
      </w:r>
      <w:r w:rsidR="004D1688" w:rsidRPr="003E0B96">
        <w:rPr>
          <w:sz w:val="18"/>
          <w:szCs w:val="18"/>
        </w:rPr>
        <w:t>.</w:t>
      </w:r>
    </w:p>
    <w:p w14:paraId="70D4E66F" w14:textId="77777777" w:rsidR="00F04ABD" w:rsidRPr="003E0B96" w:rsidRDefault="00F04ABD" w:rsidP="00F04ABD">
      <w:pPr>
        <w:pStyle w:val="ListParagraph"/>
        <w:ind w:left="284"/>
        <w:jc w:val="both"/>
        <w:rPr>
          <w:sz w:val="18"/>
          <w:szCs w:val="18"/>
        </w:rPr>
      </w:pPr>
    </w:p>
    <w:p w14:paraId="24796556" w14:textId="7F53302E" w:rsidR="00D00F9E" w:rsidRPr="003E0B96" w:rsidRDefault="006B6BB8" w:rsidP="00937CBB">
      <w:pPr>
        <w:pStyle w:val="ListParagraph"/>
        <w:numPr>
          <w:ilvl w:val="0"/>
          <w:numId w:val="1"/>
        </w:numPr>
        <w:ind w:left="0" w:hanging="284"/>
        <w:jc w:val="both"/>
        <w:rPr>
          <w:b/>
          <w:bCs/>
          <w:sz w:val="18"/>
          <w:szCs w:val="18"/>
        </w:rPr>
      </w:pPr>
      <w:r w:rsidRPr="003E0B96">
        <w:rPr>
          <w:b/>
          <w:bCs/>
          <w:sz w:val="18"/>
          <w:szCs w:val="18"/>
        </w:rPr>
        <w:t>Pr</w:t>
      </w:r>
      <w:r w:rsidR="00D00F9E" w:rsidRPr="003E0B96">
        <w:rPr>
          <w:b/>
          <w:bCs/>
          <w:sz w:val="18"/>
          <w:szCs w:val="18"/>
        </w:rPr>
        <w:t>eço</w:t>
      </w:r>
      <w:r w:rsidR="0068300C" w:rsidRPr="003E0B96">
        <w:rPr>
          <w:b/>
          <w:bCs/>
          <w:sz w:val="18"/>
          <w:szCs w:val="18"/>
        </w:rPr>
        <w:t>, Faturação e Pagamento</w:t>
      </w:r>
    </w:p>
    <w:p w14:paraId="1C961F7F" w14:textId="64C5D268" w:rsidR="00946F17" w:rsidRPr="003E0B96" w:rsidRDefault="00946F17" w:rsidP="00BB6BC2">
      <w:pPr>
        <w:pStyle w:val="ListParagraph"/>
        <w:numPr>
          <w:ilvl w:val="1"/>
          <w:numId w:val="1"/>
        </w:numPr>
        <w:ind w:left="284" w:hanging="568"/>
        <w:jc w:val="both"/>
        <w:rPr>
          <w:sz w:val="18"/>
          <w:szCs w:val="18"/>
        </w:rPr>
      </w:pPr>
      <w:r w:rsidRPr="003E0B96">
        <w:rPr>
          <w:sz w:val="18"/>
          <w:szCs w:val="18"/>
        </w:rPr>
        <w:t xml:space="preserve">O Cliente obriga-se a pagar o </w:t>
      </w:r>
      <w:r w:rsidR="008B2C31" w:rsidRPr="003E0B96">
        <w:rPr>
          <w:sz w:val="18"/>
          <w:szCs w:val="18"/>
        </w:rPr>
        <w:t>P</w:t>
      </w:r>
      <w:r w:rsidRPr="003E0B96">
        <w:rPr>
          <w:sz w:val="18"/>
          <w:szCs w:val="18"/>
        </w:rPr>
        <w:t xml:space="preserve">reço </w:t>
      </w:r>
      <w:r w:rsidR="00056F78" w:rsidRPr="003E0B96">
        <w:rPr>
          <w:sz w:val="18"/>
          <w:szCs w:val="18"/>
        </w:rPr>
        <w:t>do Equipamento</w:t>
      </w:r>
      <w:r w:rsidR="008B2C31" w:rsidRPr="003E0B96">
        <w:rPr>
          <w:sz w:val="18"/>
          <w:szCs w:val="18"/>
        </w:rPr>
        <w:t xml:space="preserve"> </w:t>
      </w:r>
      <w:r w:rsidRPr="003E0B96">
        <w:rPr>
          <w:sz w:val="18"/>
          <w:szCs w:val="18"/>
        </w:rPr>
        <w:t>identificado no Formulário</w:t>
      </w:r>
      <w:r w:rsidR="009E04EF" w:rsidRPr="003E0B96">
        <w:rPr>
          <w:sz w:val="18"/>
          <w:szCs w:val="18"/>
        </w:rPr>
        <w:t xml:space="preserve"> no prazo de </w:t>
      </w:r>
      <w:r w:rsidR="008E5140" w:rsidRPr="00CF59A0">
        <w:rPr>
          <w:sz w:val="18"/>
          <w:szCs w:val="18"/>
        </w:rPr>
        <w:t>8</w:t>
      </w:r>
      <w:r w:rsidR="009E04EF" w:rsidRPr="00CF59A0">
        <w:rPr>
          <w:sz w:val="18"/>
          <w:szCs w:val="18"/>
        </w:rPr>
        <w:t xml:space="preserve"> dias</w:t>
      </w:r>
      <w:r w:rsidR="009E04EF" w:rsidRPr="003E0B96">
        <w:rPr>
          <w:sz w:val="18"/>
          <w:szCs w:val="18"/>
        </w:rPr>
        <w:t xml:space="preserve"> </w:t>
      </w:r>
      <w:r w:rsidR="009B59AD" w:rsidRPr="003E0B96">
        <w:rPr>
          <w:sz w:val="18"/>
          <w:szCs w:val="18"/>
        </w:rPr>
        <w:t>a</w:t>
      </w:r>
      <w:r w:rsidR="009E04EF" w:rsidRPr="003E0B96">
        <w:rPr>
          <w:sz w:val="18"/>
          <w:szCs w:val="18"/>
        </w:rPr>
        <w:t xml:space="preserve">pós a </w:t>
      </w:r>
      <w:r w:rsidR="0036370C">
        <w:rPr>
          <w:sz w:val="18"/>
          <w:szCs w:val="18"/>
        </w:rPr>
        <w:t>emissão da correspondente fatura</w:t>
      </w:r>
      <w:r w:rsidR="00DF7500" w:rsidRPr="003E0B96">
        <w:rPr>
          <w:sz w:val="18"/>
          <w:szCs w:val="18"/>
        </w:rPr>
        <w:t xml:space="preserve">. </w:t>
      </w:r>
    </w:p>
    <w:p w14:paraId="62FE85BA" w14:textId="600F95E5" w:rsidR="00DF7500" w:rsidRPr="003E0B96" w:rsidRDefault="00DF7500" w:rsidP="00BB6BC2">
      <w:pPr>
        <w:pStyle w:val="ListParagraph"/>
        <w:numPr>
          <w:ilvl w:val="1"/>
          <w:numId w:val="1"/>
        </w:numPr>
        <w:ind w:left="284" w:hanging="568"/>
        <w:jc w:val="both"/>
        <w:rPr>
          <w:sz w:val="18"/>
          <w:szCs w:val="18"/>
        </w:rPr>
      </w:pPr>
      <w:r w:rsidRPr="003E0B96">
        <w:rPr>
          <w:sz w:val="18"/>
          <w:szCs w:val="18"/>
        </w:rPr>
        <w:t>O pagamento deverá ser realizado por transferência bancária para o IBAN indicado no Formulário</w:t>
      </w:r>
      <w:r w:rsidR="004E5948">
        <w:rPr>
          <w:sz w:val="18"/>
          <w:szCs w:val="18"/>
        </w:rPr>
        <w:t xml:space="preserve"> e/ou na correspondente fatura</w:t>
      </w:r>
      <w:r w:rsidRPr="003E0B96">
        <w:rPr>
          <w:sz w:val="18"/>
          <w:szCs w:val="18"/>
        </w:rPr>
        <w:t xml:space="preserve">. </w:t>
      </w:r>
    </w:p>
    <w:p w14:paraId="47A04262" w14:textId="5DC66B25" w:rsidR="00964925" w:rsidRPr="003E0B96" w:rsidRDefault="00104E45" w:rsidP="00BB6BC2">
      <w:pPr>
        <w:pStyle w:val="ListParagraph"/>
        <w:numPr>
          <w:ilvl w:val="1"/>
          <w:numId w:val="1"/>
        </w:numPr>
        <w:ind w:left="284" w:hanging="568"/>
        <w:jc w:val="both"/>
        <w:rPr>
          <w:sz w:val="18"/>
          <w:szCs w:val="18"/>
        </w:rPr>
      </w:pPr>
      <w:r w:rsidRPr="003E0B96">
        <w:rPr>
          <w:sz w:val="18"/>
          <w:szCs w:val="18"/>
        </w:rPr>
        <w:t xml:space="preserve">O Cliente deve, sob pena de impossibilidade de identificação do </w:t>
      </w:r>
      <w:r w:rsidR="00B16F9A">
        <w:rPr>
          <w:sz w:val="18"/>
          <w:szCs w:val="18"/>
        </w:rPr>
        <w:t>Cliente</w:t>
      </w:r>
      <w:r w:rsidR="006C1524" w:rsidRPr="003E0B96">
        <w:rPr>
          <w:sz w:val="18"/>
          <w:szCs w:val="18"/>
        </w:rPr>
        <w:t>, identificar o respetivo CUI aquando da realização da transferência bancária.</w:t>
      </w:r>
    </w:p>
    <w:p w14:paraId="1CFFFE6F" w14:textId="7B01E2DC" w:rsidR="003E2DF8" w:rsidRDefault="003E2DF8" w:rsidP="003E2DF8">
      <w:pPr>
        <w:pStyle w:val="ListParagraph"/>
        <w:ind w:left="284"/>
        <w:jc w:val="both"/>
        <w:rPr>
          <w:sz w:val="18"/>
          <w:szCs w:val="18"/>
        </w:rPr>
      </w:pPr>
    </w:p>
    <w:p w14:paraId="12690E9B" w14:textId="63620D60" w:rsidR="00CF59A0" w:rsidRDefault="00CF59A0" w:rsidP="003E2DF8">
      <w:pPr>
        <w:pStyle w:val="ListParagraph"/>
        <w:ind w:left="284"/>
        <w:jc w:val="both"/>
        <w:rPr>
          <w:sz w:val="18"/>
          <w:szCs w:val="18"/>
        </w:rPr>
      </w:pPr>
    </w:p>
    <w:p w14:paraId="43A7F723" w14:textId="77777777" w:rsidR="00CF59A0" w:rsidRPr="003E0B96" w:rsidRDefault="00CF59A0" w:rsidP="003E2DF8">
      <w:pPr>
        <w:pStyle w:val="ListParagraph"/>
        <w:ind w:left="284"/>
        <w:jc w:val="both"/>
        <w:rPr>
          <w:sz w:val="18"/>
          <w:szCs w:val="18"/>
        </w:rPr>
      </w:pPr>
    </w:p>
    <w:p w14:paraId="1B2FE6FB" w14:textId="41CFE135" w:rsidR="006B6BB8" w:rsidRPr="003E0B96" w:rsidRDefault="000A1A25" w:rsidP="00937CBB">
      <w:pPr>
        <w:pStyle w:val="ListParagraph"/>
        <w:numPr>
          <w:ilvl w:val="0"/>
          <w:numId w:val="1"/>
        </w:numPr>
        <w:ind w:left="0" w:hanging="284"/>
        <w:jc w:val="both"/>
        <w:rPr>
          <w:b/>
          <w:bCs/>
          <w:sz w:val="18"/>
          <w:szCs w:val="18"/>
        </w:rPr>
      </w:pPr>
      <w:r w:rsidRPr="003E0B96">
        <w:rPr>
          <w:b/>
          <w:bCs/>
          <w:sz w:val="18"/>
          <w:szCs w:val="18"/>
        </w:rPr>
        <w:t xml:space="preserve">Conclusão da Obra e </w:t>
      </w:r>
      <w:r w:rsidR="00BB6BC2" w:rsidRPr="003E0B96">
        <w:rPr>
          <w:b/>
          <w:bCs/>
          <w:sz w:val="18"/>
          <w:szCs w:val="18"/>
        </w:rPr>
        <w:t>Pr</w:t>
      </w:r>
      <w:r w:rsidR="006B6BB8" w:rsidRPr="003E0B96">
        <w:rPr>
          <w:b/>
          <w:bCs/>
          <w:sz w:val="18"/>
          <w:szCs w:val="18"/>
        </w:rPr>
        <w:t>azo de Garantia</w:t>
      </w:r>
    </w:p>
    <w:p w14:paraId="52AAF01B" w14:textId="5B47AEF1" w:rsidR="00B446BE" w:rsidRPr="003E0B96" w:rsidRDefault="009A44E2" w:rsidP="00937CBB">
      <w:pPr>
        <w:pStyle w:val="ListParagraph"/>
        <w:numPr>
          <w:ilvl w:val="1"/>
          <w:numId w:val="1"/>
        </w:numPr>
        <w:ind w:left="284" w:hanging="568"/>
        <w:jc w:val="both"/>
        <w:rPr>
          <w:sz w:val="18"/>
          <w:szCs w:val="18"/>
        </w:rPr>
      </w:pPr>
      <w:r w:rsidRPr="003E0B96">
        <w:rPr>
          <w:sz w:val="18"/>
          <w:szCs w:val="18"/>
        </w:rPr>
        <w:t xml:space="preserve">Com a conclusão da instalação do </w:t>
      </w:r>
      <w:r w:rsidR="005109DC" w:rsidRPr="003E0B96">
        <w:rPr>
          <w:sz w:val="18"/>
          <w:szCs w:val="18"/>
        </w:rPr>
        <w:t>E</w:t>
      </w:r>
      <w:r w:rsidRPr="003E0B96">
        <w:rPr>
          <w:sz w:val="18"/>
          <w:szCs w:val="18"/>
        </w:rPr>
        <w:t>quipamento</w:t>
      </w:r>
      <w:r w:rsidR="00C704A0" w:rsidRPr="003E0B96">
        <w:rPr>
          <w:sz w:val="18"/>
          <w:szCs w:val="18"/>
        </w:rPr>
        <w:t>, proceder-se-á à emissão do correspondente Auto de Receção</w:t>
      </w:r>
      <w:r w:rsidR="006D0B52">
        <w:rPr>
          <w:sz w:val="18"/>
          <w:szCs w:val="18"/>
        </w:rPr>
        <w:t>,</w:t>
      </w:r>
      <w:r w:rsidR="006D0B52" w:rsidRPr="003E0B96">
        <w:rPr>
          <w:sz w:val="18"/>
          <w:szCs w:val="18"/>
        </w:rPr>
        <w:t xml:space="preserve"> </w:t>
      </w:r>
      <w:r w:rsidR="00C704A0" w:rsidRPr="003E0B96">
        <w:rPr>
          <w:sz w:val="18"/>
          <w:szCs w:val="18"/>
        </w:rPr>
        <w:t>elaborado pela Lisboagás</w:t>
      </w:r>
      <w:r w:rsidR="00241E41" w:rsidRPr="003E0B96">
        <w:rPr>
          <w:sz w:val="18"/>
          <w:szCs w:val="18"/>
        </w:rPr>
        <w:t xml:space="preserve"> ou pela Empresa Instaladora na presença do Cliente, e assinado por ambos. </w:t>
      </w:r>
    </w:p>
    <w:p w14:paraId="616DBB0D" w14:textId="6117FFC2" w:rsidR="006F227B" w:rsidRPr="003E0B96" w:rsidRDefault="006F227B" w:rsidP="00937CBB">
      <w:pPr>
        <w:pStyle w:val="ListParagraph"/>
        <w:numPr>
          <w:ilvl w:val="1"/>
          <w:numId w:val="1"/>
        </w:numPr>
        <w:ind w:left="284" w:hanging="568"/>
        <w:jc w:val="both"/>
        <w:rPr>
          <w:sz w:val="18"/>
          <w:szCs w:val="18"/>
        </w:rPr>
      </w:pPr>
      <w:r w:rsidRPr="003E0B96">
        <w:rPr>
          <w:sz w:val="18"/>
          <w:szCs w:val="18"/>
        </w:rPr>
        <w:t xml:space="preserve">Para efeitos do número anterior, considerar-se-á que </w:t>
      </w:r>
      <w:r w:rsidR="0052332C" w:rsidRPr="003E0B96">
        <w:rPr>
          <w:sz w:val="18"/>
          <w:szCs w:val="18"/>
        </w:rPr>
        <w:t xml:space="preserve">a instalação está concluída quando estiverem </w:t>
      </w:r>
      <w:r w:rsidR="005B3BDC" w:rsidRPr="003E0B96">
        <w:rPr>
          <w:sz w:val="18"/>
          <w:szCs w:val="18"/>
        </w:rPr>
        <w:t>verificados, cumulativamente, os seguintes pressupostos:</w:t>
      </w:r>
    </w:p>
    <w:p w14:paraId="6775BC96" w14:textId="60CB1457" w:rsidR="005B3BDC" w:rsidRPr="003E0B96" w:rsidRDefault="00B811A8" w:rsidP="005B3BDC">
      <w:pPr>
        <w:pStyle w:val="ListParagraph"/>
        <w:numPr>
          <w:ilvl w:val="0"/>
          <w:numId w:val="6"/>
        </w:numPr>
        <w:jc w:val="both"/>
        <w:rPr>
          <w:sz w:val="18"/>
          <w:szCs w:val="18"/>
        </w:rPr>
      </w:pPr>
      <w:r w:rsidRPr="003E0B96">
        <w:rPr>
          <w:sz w:val="18"/>
          <w:szCs w:val="18"/>
        </w:rPr>
        <w:t xml:space="preserve">Todos os trabalhos referentes aos Serviços Standard </w:t>
      </w:r>
      <w:r w:rsidR="005D234A">
        <w:rPr>
          <w:sz w:val="18"/>
          <w:szCs w:val="18"/>
        </w:rPr>
        <w:t>(</w:t>
      </w:r>
      <w:r w:rsidRPr="003E0B96">
        <w:rPr>
          <w:sz w:val="18"/>
          <w:szCs w:val="18"/>
        </w:rPr>
        <w:t>e Serviços Adicionais</w:t>
      </w:r>
      <w:r w:rsidR="005D234A">
        <w:rPr>
          <w:sz w:val="18"/>
          <w:szCs w:val="18"/>
        </w:rPr>
        <w:t>, quando aplicável)</w:t>
      </w:r>
      <w:r w:rsidRPr="003E0B96">
        <w:rPr>
          <w:sz w:val="18"/>
          <w:szCs w:val="18"/>
        </w:rPr>
        <w:t xml:space="preserve"> tenham sido concluídos pela Lisboagás e/ou pela Empresa Instaladora;</w:t>
      </w:r>
    </w:p>
    <w:p w14:paraId="1EE29617" w14:textId="6A43EABB" w:rsidR="00B811A8" w:rsidRPr="003E0B96" w:rsidRDefault="009C3CBB" w:rsidP="005B3BDC">
      <w:pPr>
        <w:pStyle w:val="ListParagraph"/>
        <w:numPr>
          <w:ilvl w:val="0"/>
          <w:numId w:val="6"/>
        </w:numPr>
        <w:jc w:val="both"/>
        <w:rPr>
          <w:sz w:val="18"/>
          <w:szCs w:val="18"/>
        </w:rPr>
      </w:pPr>
      <w:r w:rsidRPr="003E0B96">
        <w:rPr>
          <w:sz w:val="18"/>
          <w:szCs w:val="18"/>
        </w:rPr>
        <w:t xml:space="preserve">Quaisquer deficiências técnicas, omissões imperfeições ou quaisquer outros defeitos que se </w:t>
      </w:r>
      <w:r w:rsidR="00075998" w:rsidRPr="003E0B96">
        <w:rPr>
          <w:sz w:val="18"/>
          <w:szCs w:val="18"/>
        </w:rPr>
        <w:t>tenham manifestado durante a execução do Contrato tenham sido eliminadas pela Lisboagás/Em</w:t>
      </w:r>
      <w:r w:rsidR="00A94A32" w:rsidRPr="003E0B96">
        <w:rPr>
          <w:sz w:val="18"/>
          <w:szCs w:val="18"/>
        </w:rPr>
        <w:t>presa Instaladora;</w:t>
      </w:r>
    </w:p>
    <w:p w14:paraId="37540B03" w14:textId="542B4344" w:rsidR="00A94A32" w:rsidRPr="003E0B96" w:rsidRDefault="00A94A32" w:rsidP="005B3BDC">
      <w:pPr>
        <w:pStyle w:val="ListParagraph"/>
        <w:numPr>
          <w:ilvl w:val="0"/>
          <w:numId w:val="6"/>
        </w:numPr>
        <w:jc w:val="both"/>
        <w:rPr>
          <w:sz w:val="18"/>
          <w:szCs w:val="18"/>
        </w:rPr>
      </w:pPr>
      <w:r w:rsidRPr="003E0B96">
        <w:rPr>
          <w:sz w:val="18"/>
          <w:szCs w:val="18"/>
        </w:rPr>
        <w:t>Os trabalhos incluídos no Contrato</w:t>
      </w:r>
      <w:r w:rsidR="005325CB" w:rsidRPr="003E0B96">
        <w:rPr>
          <w:sz w:val="18"/>
          <w:szCs w:val="18"/>
        </w:rPr>
        <w:t xml:space="preserve"> e executados não apresentem </w:t>
      </w:r>
      <w:r w:rsidR="00B432A9" w:rsidRPr="003E0B96">
        <w:rPr>
          <w:sz w:val="18"/>
          <w:szCs w:val="18"/>
        </w:rPr>
        <w:t>defeitos aparentes.</w:t>
      </w:r>
    </w:p>
    <w:p w14:paraId="77F04FD7" w14:textId="77777777" w:rsidR="002D7A10" w:rsidRPr="003E0B96" w:rsidRDefault="002D7A10" w:rsidP="002D7A10">
      <w:pPr>
        <w:pStyle w:val="ListParagraph"/>
        <w:numPr>
          <w:ilvl w:val="1"/>
          <w:numId w:val="1"/>
        </w:numPr>
        <w:ind w:left="284" w:hanging="568"/>
        <w:jc w:val="both"/>
        <w:rPr>
          <w:sz w:val="18"/>
          <w:szCs w:val="18"/>
        </w:rPr>
      </w:pPr>
      <w:r w:rsidRPr="003E0B96">
        <w:rPr>
          <w:sz w:val="18"/>
          <w:szCs w:val="18"/>
        </w:rPr>
        <w:t>A Lisboagás será integralmente responsável por todas as deficiências técnicas, omissões, imperfeições ou quaisquer outros defeitos, erros e vícios, ainda que só se manifestem mais tarde, relativos ao fabrico do Equipamento, obrigando-se a corrigir esses defeitos ou a substituir, a seu critério, até ao termo do prazo de garantia previsto na presente cláusula.</w:t>
      </w:r>
    </w:p>
    <w:p w14:paraId="44CF9279" w14:textId="35A8BA3F" w:rsidR="006B6BB8" w:rsidRPr="003E0B96" w:rsidRDefault="006B6BB8" w:rsidP="00937CBB">
      <w:pPr>
        <w:pStyle w:val="ListParagraph"/>
        <w:numPr>
          <w:ilvl w:val="1"/>
          <w:numId w:val="1"/>
        </w:numPr>
        <w:ind w:left="284" w:hanging="568"/>
        <w:jc w:val="both"/>
        <w:rPr>
          <w:sz w:val="18"/>
          <w:szCs w:val="18"/>
        </w:rPr>
      </w:pPr>
      <w:r w:rsidRPr="003E0B96">
        <w:rPr>
          <w:sz w:val="18"/>
          <w:szCs w:val="18"/>
        </w:rPr>
        <w:t>O prazo de garantia é de 3 (três) anos a contar da data de entrega do Equipamento, nos termos do Decreto-Lei 84/2021, de 18 de outubro, na sua versão atual.</w:t>
      </w:r>
    </w:p>
    <w:p w14:paraId="24FDDF20" w14:textId="22398459" w:rsidR="006B6BB8" w:rsidRPr="003E0B96" w:rsidRDefault="006B6BB8" w:rsidP="00937CBB">
      <w:pPr>
        <w:pStyle w:val="ListParagraph"/>
        <w:numPr>
          <w:ilvl w:val="1"/>
          <w:numId w:val="1"/>
        </w:numPr>
        <w:ind w:left="284" w:hanging="568"/>
        <w:jc w:val="both"/>
        <w:rPr>
          <w:sz w:val="18"/>
          <w:szCs w:val="18"/>
        </w:rPr>
      </w:pPr>
      <w:r w:rsidRPr="003E0B96">
        <w:rPr>
          <w:sz w:val="18"/>
          <w:szCs w:val="18"/>
        </w:rPr>
        <w:t xml:space="preserve">Nos casos em que as deficiências técnicas, omissões, imperfeições ou quaisquer outros defeitos, erros e vícios, relativos ao fabrico do Equipamento, se manifestem no prazo de 30 (trinta) dias após a entrega do Equipamento, o Cliente pode solicitar a imediata substituição do </w:t>
      </w:r>
      <w:r w:rsidR="00CD2DF1" w:rsidRPr="003E0B96">
        <w:rPr>
          <w:sz w:val="18"/>
          <w:szCs w:val="18"/>
        </w:rPr>
        <w:t>Equipamento</w:t>
      </w:r>
      <w:r w:rsidRPr="003E0B96">
        <w:rPr>
          <w:sz w:val="18"/>
          <w:szCs w:val="18"/>
        </w:rPr>
        <w:t xml:space="preserve"> ou a resolução do Contrato.</w:t>
      </w:r>
    </w:p>
    <w:p w14:paraId="4858CA16" w14:textId="11C27312" w:rsidR="00E43FF8" w:rsidRPr="003E0B96" w:rsidRDefault="00E43FF8" w:rsidP="00937CBB">
      <w:pPr>
        <w:pStyle w:val="ListParagraph"/>
        <w:numPr>
          <w:ilvl w:val="1"/>
          <w:numId w:val="1"/>
        </w:numPr>
        <w:ind w:left="284" w:hanging="568"/>
        <w:jc w:val="both"/>
        <w:rPr>
          <w:sz w:val="18"/>
          <w:szCs w:val="18"/>
        </w:rPr>
      </w:pPr>
      <w:r w:rsidRPr="003E0B96">
        <w:rPr>
          <w:sz w:val="18"/>
          <w:szCs w:val="18"/>
        </w:rPr>
        <w:t>Uma vez verificado, por parte do Cliente, que o Equipamento não cumpre os requisitos estabelecidos no presente Contrato, o Cliente notificará a Lisboagás de tal incumprimento, por escrito, no prazo máximo de 60 (dias) dias da data em que tenha detetado a falta de conformidade.</w:t>
      </w:r>
    </w:p>
    <w:p w14:paraId="48612F10" w14:textId="3E15AA85" w:rsidR="006B6BB8" w:rsidRPr="003E0B96" w:rsidRDefault="006B6BB8" w:rsidP="00937CBB">
      <w:pPr>
        <w:pStyle w:val="ListParagraph"/>
        <w:numPr>
          <w:ilvl w:val="1"/>
          <w:numId w:val="1"/>
        </w:numPr>
        <w:ind w:left="284" w:hanging="568"/>
        <w:jc w:val="both"/>
        <w:rPr>
          <w:sz w:val="18"/>
          <w:szCs w:val="18"/>
        </w:rPr>
      </w:pPr>
      <w:r w:rsidRPr="003E0B96">
        <w:rPr>
          <w:sz w:val="18"/>
          <w:szCs w:val="18"/>
        </w:rPr>
        <w:t>Até ao final do prazo de garantia estipulado nesta Cláusula, a Lisboagás é obrigada a proceder, à sua custa e no prazo de 30 (trinta dias) contados da comunicação escrita do Cliente, a todas as substituições, reparações e repetições que forem indispensáveis para assegurar que o Equipamento cumpra os requisitos estabelecidos no presente Contrato.</w:t>
      </w:r>
    </w:p>
    <w:p w14:paraId="603B8176" w14:textId="6F589405" w:rsidR="006B6BB8" w:rsidRPr="003E0B96" w:rsidRDefault="00E43FF8" w:rsidP="00937CBB">
      <w:pPr>
        <w:pStyle w:val="ListParagraph"/>
        <w:numPr>
          <w:ilvl w:val="1"/>
          <w:numId w:val="1"/>
        </w:numPr>
        <w:ind w:left="284" w:hanging="568"/>
        <w:jc w:val="both"/>
        <w:rPr>
          <w:sz w:val="18"/>
          <w:szCs w:val="18"/>
        </w:rPr>
      </w:pPr>
      <w:r w:rsidRPr="003E0B96">
        <w:rPr>
          <w:sz w:val="18"/>
          <w:szCs w:val="18"/>
        </w:rPr>
        <w:t>O Cliente beneficiará de um prazo de garantia adicional de duração idêntica ao estabelecido nesta Cláusula, relativamente ao Equipamento substituído. Em caso de reparação, ainda que parcial, o Equipamento reparado beneficia de uma garantia adicional de 6 (seis) meses por cada reparação, até ao limite de 4 (quatro) reparações, sendo certo que o período de garantia se suspende durante o período da reparação findo o qual deve retomar com acréscimo de período igual ao da suspensão.</w:t>
      </w:r>
    </w:p>
    <w:p w14:paraId="014CA449" w14:textId="77777777" w:rsidR="00E43FF8" w:rsidRPr="003E0B96" w:rsidRDefault="00E43FF8" w:rsidP="00937CBB">
      <w:pPr>
        <w:pStyle w:val="ListParagraph"/>
        <w:ind w:left="284"/>
        <w:jc w:val="both"/>
        <w:rPr>
          <w:sz w:val="18"/>
          <w:szCs w:val="18"/>
        </w:rPr>
      </w:pPr>
    </w:p>
    <w:p w14:paraId="12C5F8AA" w14:textId="7447404F" w:rsidR="00E43FF8" w:rsidRPr="003E0B96" w:rsidRDefault="00E43FF8" w:rsidP="00937CBB">
      <w:pPr>
        <w:pStyle w:val="ListParagraph"/>
        <w:numPr>
          <w:ilvl w:val="0"/>
          <w:numId w:val="1"/>
        </w:numPr>
        <w:ind w:left="0" w:hanging="284"/>
        <w:jc w:val="both"/>
        <w:rPr>
          <w:b/>
          <w:bCs/>
          <w:sz w:val="18"/>
          <w:szCs w:val="18"/>
        </w:rPr>
      </w:pPr>
      <w:r w:rsidRPr="003E0B96">
        <w:rPr>
          <w:b/>
          <w:bCs/>
          <w:sz w:val="18"/>
          <w:szCs w:val="18"/>
        </w:rPr>
        <w:t>Responsabilidade</w:t>
      </w:r>
    </w:p>
    <w:p w14:paraId="6C7B14F4" w14:textId="7038173D" w:rsidR="00E43FF8" w:rsidRPr="003E0B96" w:rsidRDefault="00E43FF8" w:rsidP="00937CBB">
      <w:pPr>
        <w:pStyle w:val="ListParagraph"/>
        <w:numPr>
          <w:ilvl w:val="1"/>
          <w:numId w:val="1"/>
        </w:numPr>
        <w:ind w:left="284" w:hanging="568"/>
        <w:jc w:val="both"/>
        <w:rPr>
          <w:sz w:val="18"/>
          <w:szCs w:val="18"/>
        </w:rPr>
      </w:pPr>
      <w:r w:rsidRPr="003E0B96">
        <w:rPr>
          <w:sz w:val="18"/>
          <w:szCs w:val="18"/>
        </w:rPr>
        <w:t>A Lisboagás obriga-se a cumprir pontualmente as obrigações emergentes do Contrato e será responsável pelos danos, a si imputáveis, causados pelo cumprimento defeituoso ou pelo incumprimento do disposto no presente Contrato.</w:t>
      </w:r>
    </w:p>
    <w:p w14:paraId="3440BD54" w14:textId="06D41CE0" w:rsidR="00E43FF8" w:rsidRPr="003E0B96" w:rsidRDefault="00E43FF8" w:rsidP="00937CBB">
      <w:pPr>
        <w:pStyle w:val="ListParagraph"/>
        <w:numPr>
          <w:ilvl w:val="1"/>
          <w:numId w:val="1"/>
        </w:numPr>
        <w:ind w:left="284" w:hanging="568"/>
        <w:jc w:val="both"/>
        <w:rPr>
          <w:sz w:val="18"/>
          <w:szCs w:val="18"/>
        </w:rPr>
      </w:pPr>
      <w:r w:rsidRPr="003E0B96">
        <w:rPr>
          <w:sz w:val="18"/>
          <w:szCs w:val="18"/>
        </w:rPr>
        <w:t>A responsabilidade da Lisboagás por todas as perdas e danos indemnizáveis ao abrigo do presente Contrato (incluindo atrasos e/ou incumprimento de obrigações) não excederá, por cada Equipamento 100% (cem por cento) do respetivo preço, exceto em caso de dolo ou negligência grosseira. Em nenhum caso será a Lisboagás responsável por quaisquer danos patrimoniais (incluindo trabalhos) e/ou danos não patrimoniais (incluindo a lesão ou a morte de pessoas) causad</w:t>
      </w:r>
      <w:r w:rsidR="00D94A2E" w:rsidRPr="003E0B96">
        <w:rPr>
          <w:sz w:val="18"/>
          <w:szCs w:val="18"/>
        </w:rPr>
        <w:t>o</w:t>
      </w:r>
      <w:r w:rsidRPr="003E0B96">
        <w:rPr>
          <w:sz w:val="18"/>
          <w:szCs w:val="18"/>
        </w:rPr>
        <w:t xml:space="preserve">s por: </w:t>
      </w:r>
    </w:p>
    <w:p w14:paraId="014712D3" w14:textId="77777777" w:rsidR="00E43FF8" w:rsidRPr="003E0B96" w:rsidRDefault="00E43FF8" w:rsidP="00937CBB">
      <w:pPr>
        <w:pStyle w:val="ListParagraph"/>
        <w:numPr>
          <w:ilvl w:val="0"/>
          <w:numId w:val="2"/>
        </w:numPr>
        <w:jc w:val="both"/>
        <w:rPr>
          <w:sz w:val="18"/>
          <w:szCs w:val="18"/>
        </w:rPr>
      </w:pPr>
      <w:r w:rsidRPr="003E0B96">
        <w:rPr>
          <w:sz w:val="18"/>
          <w:szCs w:val="18"/>
        </w:rPr>
        <w:t xml:space="preserve">Casos de força maior; </w:t>
      </w:r>
    </w:p>
    <w:p w14:paraId="05319289" w14:textId="77777777" w:rsidR="00E43FF8" w:rsidRPr="003E0B96" w:rsidRDefault="00E43FF8" w:rsidP="00937CBB">
      <w:pPr>
        <w:pStyle w:val="ListParagraph"/>
        <w:numPr>
          <w:ilvl w:val="0"/>
          <w:numId w:val="2"/>
        </w:numPr>
        <w:jc w:val="both"/>
        <w:rPr>
          <w:sz w:val="18"/>
          <w:szCs w:val="18"/>
        </w:rPr>
      </w:pPr>
      <w:r w:rsidRPr="003E0B96">
        <w:rPr>
          <w:sz w:val="18"/>
          <w:szCs w:val="18"/>
        </w:rPr>
        <w:t>Instalação do Equipamento;</w:t>
      </w:r>
    </w:p>
    <w:p w14:paraId="7C9A1594" w14:textId="77777777" w:rsidR="00E43FF8" w:rsidRPr="003E0B96" w:rsidRDefault="00E43FF8" w:rsidP="00937CBB">
      <w:pPr>
        <w:pStyle w:val="ListParagraph"/>
        <w:numPr>
          <w:ilvl w:val="0"/>
          <w:numId w:val="2"/>
        </w:numPr>
        <w:jc w:val="both"/>
        <w:rPr>
          <w:sz w:val="18"/>
          <w:szCs w:val="18"/>
        </w:rPr>
      </w:pPr>
      <w:r w:rsidRPr="003E0B96">
        <w:rPr>
          <w:sz w:val="18"/>
          <w:szCs w:val="18"/>
        </w:rPr>
        <w:t>Utilização do Equipamento para finalidade diferente/em inobservância do disposto no manual de utilização entregue com o Equipamento;</w:t>
      </w:r>
    </w:p>
    <w:p w14:paraId="2EEBD24D" w14:textId="77777777" w:rsidR="00E43FF8" w:rsidRPr="003E0B96" w:rsidRDefault="00E43FF8" w:rsidP="00937CBB">
      <w:pPr>
        <w:pStyle w:val="ListParagraph"/>
        <w:numPr>
          <w:ilvl w:val="0"/>
          <w:numId w:val="2"/>
        </w:numPr>
        <w:jc w:val="both"/>
        <w:rPr>
          <w:sz w:val="18"/>
          <w:szCs w:val="18"/>
        </w:rPr>
      </w:pPr>
      <w:r w:rsidRPr="003E0B96">
        <w:rPr>
          <w:sz w:val="18"/>
          <w:szCs w:val="18"/>
        </w:rPr>
        <w:t>Atos ou omissões do Cliente, seus representantes ou quaisquer terceiros; ou</w:t>
      </w:r>
    </w:p>
    <w:p w14:paraId="430A7747" w14:textId="77777777" w:rsidR="00E43FF8" w:rsidRPr="003E0B96" w:rsidRDefault="00E43FF8" w:rsidP="00937CBB">
      <w:pPr>
        <w:pStyle w:val="ListParagraph"/>
        <w:numPr>
          <w:ilvl w:val="0"/>
          <w:numId w:val="2"/>
        </w:numPr>
        <w:jc w:val="both"/>
        <w:rPr>
          <w:sz w:val="18"/>
          <w:szCs w:val="18"/>
        </w:rPr>
      </w:pPr>
      <w:r w:rsidRPr="003E0B96">
        <w:rPr>
          <w:sz w:val="18"/>
          <w:szCs w:val="18"/>
        </w:rPr>
        <w:t>Instalação elétrica a que o Equipamento se encontrar ligado ou veiculação da energia elétrica, por parte do operador da rede de distribuição de eletricidade.</w:t>
      </w:r>
    </w:p>
    <w:p w14:paraId="1B0BC708" w14:textId="25819BC5" w:rsidR="00E43FF8" w:rsidRDefault="00E43FF8" w:rsidP="00937CBB">
      <w:pPr>
        <w:pStyle w:val="ListParagraph"/>
        <w:numPr>
          <w:ilvl w:val="1"/>
          <w:numId w:val="1"/>
        </w:numPr>
        <w:ind w:left="284" w:hanging="568"/>
        <w:jc w:val="both"/>
        <w:rPr>
          <w:sz w:val="18"/>
          <w:szCs w:val="18"/>
        </w:rPr>
      </w:pPr>
      <w:r w:rsidRPr="003E0B96">
        <w:rPr>
          <w:sz w:val="18"/>
          <w:szCs w:val="18"/>
        </w:rPr>
        <w:t>Salvo em caso de dolo ou negligência grosseira, a Lisboagás não será responsável perante o cliente por quaisquer danos indiretos ou consequenciais designadamente lucros cessantes, perda de contratos, perda de produção, perdas económicas ou financeiras, ou quaisquer outros danos indiretos ou outros prejuízos que possam ser sofridos pelo Cliente ou terceiros, decorrentes ou relacionados com a execução do Contrato.</w:t>
      </w:r>
    </w:p>
    <w:p w14:paraId="452AD728" w14:textId="1DC0DCB3" w:rsidR="003E0B96" w:rsidRDefault="003E0B96" w:rsidP="003E0B96">
      <w:pPr>
        <w:pStyle w:val="ListParagraph"/>
        <w:ind w:left="284"/>
        <w:jc w:val="both"/>
        <w:rPr>
          <w:sz w:val="18"/>
          <w:szCs w:val="18"/>
        </w:rPr>
      </w:pPr>
    </w:p>
    <w:p w14:paraId="0ADF707C" w14:textId="38EAF407" w:rsidR="00CF59A0" w:rsidRDefault="00CF59A0" w:rsidP="003E0B96">
      <w:pPr>
        <w:pStyle w:val="ListParagraph"/>
        <w:ind w:left="284"/>
        <w:jc w:val="both"/>
        <w:rPr>
          <w:sz w:val="18"/>
          <w:szCs w:val="18"/>
        </w:rPr>
      </w:pPr>
    </w:p>
    <w:p w14:paraId="28A0861D" w14:textId="77777777" w:rsidR="00CF59A0" w:rsidRPr="003E0B96" w:rsidRDefault="00CF59A0" w:rsidP="003E0B96">
      <w:pPr>
        <w:pStyle w:val="ListParagraph"/>
        <w:ind w:left="284"/>
        <w:jc w:val="both"/>
        <w:rPr>
          <w:sz w:val="18"/>
          <w:szCs w:val="18"/>
        </w:rPr>
      </w:pPr>
    </w:p>
    <w:p w14:paraId="238F0C18" w14:textId="77777777" w:rsidR="00E5779D" w:rsidRPr="003E0B96" w:rsidRDefault="00E5779D" w:rsidP="00937CBB">
      <w:pPr>
        <w:pStyle w:val="ListParagraph"/>
        <w:numPr>
          <w:ilvl w:val="0"/>
          <w:numId w:val="1"/>
        </w:numPr>
        <w:ind w:left="0" w:hanging="284"/>
        <w:jc w:val="both"/>
        <w:rPr>
          <w:b/>
          <w:bCs/>
          <w:sz w:val="18"/>
          <w:szCs w:val="18"/>
        </w:rPr>
      </w:pPr>
      <w:r w:rsidRPr="003E0B96">
        <w:rPr>
          <w:b/>
          <w:bCs/>
          <w:sz w:val="18"/>
          <w:szCs w:val="18"/>
        </w:rPr>
        <w:t>Tratamento de Dados Pessoais</w:t>
      </w:r>
    </w:p>
    <w:p w14:paraId="136E8864" w14:textId="77777777" w:rsidR="00E5779D" w:rsidRPr="003E0B96" w:rsidRDefault="00E5779D" w:rsidP="00937CBB">
      <w:pPr>
        <w:pStyle w:val="ListParagraph"/>
        <w:numPr>
          <w:ilvl w:val="1"/>
          <w:numId w:val="1"/>
        </w:numPr>
        <w:ind w:left="284" w:hanging="568"/>
        <w:jc w:val="both"/>
        <w:rPr>
          <w:sz w:val="18"/>
          <w:szCs w:val="18"/>
        </w:rPr>
      </w:pPr>
      <w:r w:rsidRPr="003E0B96">
        <w:rPr>
          <w:sz w:val="18"/>
          <w:szCs w:val="18"/>
        </w:rPr>
        <w:t>A Lisboagás é a responsável pelo tratamento dos dados pessoais no âmbito do presente Contrato.</w:t>
      </w:r>
    </w:p>
    <w:p w14:paraId="059AC367" w14:textId="406323F8" w:rsidR="00E5779D" w:rsidRPr="003E0B96" w:rsidRDefault="00E5779D" w:rsidP="00937CBB">
      <w:pPr>
        <w:pStyle w:val="ListParagraph"/>
        <w:numPr>
          <w:ilvl w:val="1"/>
          <w:numId w:val="1"/>
        </w:numPr>
        <w:ind w:left="284" w:hanging="568"/>
        <w:jc w:val="both"/>
        <w:rPr>
          <w:sz w:val="18"/>
          <w:szCs w:val="18"/>
        </w:rPr>
      </w:pPr>
      <w:r w:rsidRPr="003E0B96">
        <w:rPr>
          <w:sz w:val="18"/>
          <w:szCs w:val="18"/>
        </w:rPr>
        <w:t xml:space="preserve">Na qualidade de responsável pelo tratamento de dados pessoais, a Lisboagás obriga-se a cumprir a legislação aplicável em matéria de proteção de dados pessoais e de privacidade, nacional ou europeia, determinando as finalidades e os meios do tratamento dos dados pessoais dos </w:t>
      </w:r>
      <w:r w:rsidR="00F15D27">
        <w:rPr>
          <w:sz w:val="18"/>
          <w:szCs w:val="18"/>
        </w:rPr>
        <w:t>Clientes</w:t>
      </w:r>
      <w:r w:rsidRPr="003E0B96">
        <w:rPr>
          <w:sz w:val="18"/>
          <w:szCs w:val="18"/>
        </w:rPr>
        <w:t>.</w:t>
      </w:r>
    </w:p>
    <w:p w14:paraId="01D35D1F" w14:textId="27C9A61B" w:rsidR="00E5779D" w:rsidRPr="003E0B96" w:rsidRDefault="00E5779D" w:rsidP="00937CBB">
      <w:pPr>
        <w:pStyle w:val="ListParagraph"/>
        <w:numPr>
          <w:ilvl w:val="1"/>
          <w:numId w:val="1"/>
        </w:numPr>
        <w:ind w:left="284" w:hanging="568"/>
        <w:jc w:val="both"/>
        <w:rPr>
          <w:sz w:val="18"/>
          <w:szCs w:val="18"/>
        </w:rPr>
      </w:pPr>
      <w:r w:rsidRPr="003E0B96">
        <w:rPr>
          <w:iCs/>
          <w:sz w:val="18"/>
          <w:szCs w:val="18"/>
        </w:rPr>
        <w:t>No âmbito da execução do presente Contrato, a Lisboagás obriga-se ainda a:</w:t>
      </w:r>
    </w:p>
    <w:p w14:paraId="5F71097B" w14:textId="32EC19A1" w:rsidR="00E5779D" w:rsidRPr="003E0B96" w:rsidRDefault="00E5779D" w:rsidP="00937CBB">
      <w:pPr>
        <w:pStyle w:val="ListParagraph"/>
        <w:numPr>
          <w:ilvl w:val="0"/>
          <w:numId w:val="5"/>
        </w:numPr>
        <w:jc w:val="both"/>
        <w:rPr>
          <w:sz w:val="18"/>
          <w:szCs w:val="18"/>
        </w:rPr>
      </w:pPr>
      <w:r w:rsidRPr="003E0B96">
        <w:rPr>
          <w:iCs/>
          <w:sz w:val="18"/>
          <w:szCs w:val="18"/>
        </w:rPr>
        <w:t>Implementar todas as medidas técnicas e organizativas adequadas à proteção de dados desde a conceção e por defeito, por forma a assegurar a conformidade com a legislação em matéria de proteção de dados</w:t>
      </w:r>
      <w:r w:rsidR="006876A2">
        <w:rPr>
          <w:iCs/>
          <w:sz w:val="18"/>
          <w:szCs w:val="18"/>
        </w:rPr>
        <w:t xml:space="preserve"> pessoais</w:t>
      </w:r>
      <w:r w:rsidRPr="003E0B96">
        <w:rPr>
          <w:iCs/>
          <w:sz w:val="18"/>
          <w:szCs w:val="18"/>
        </w:rPr>
        <w:t>, e, bem assim, as medidas de segurança adequadas aos riscos decorrentes do tratamento de dados</w:t>
      </w:r>
      <w:r w:rsidR="006876A2">
        <w:rPr>
          <w:iCs/>
          <w:sz w:val="18"/>
          <w:szCs w:val="18"/>
        </w:rPr>
        <w:t xml:space="preserve"> pessoais</w:t>
      </w:r>
      <w:r w:rsidRPr="003E0B96">
        <w:rPr>
          <w:iCs/>
          <w:sz w:val="18"/>
          <w:szCs w:val="18"/>
        </w:rPr>
        <w:t>;</w:t>
      </w:r>
    </w:p>
    <w:p w14:paraId="500A07F3" w14:textId="77777777" w:rsidR="00E5779D" w:rsidRPr="003E0B96" w:rsidRDefault="00E5779D" w:rsidP="00937CBB">
      <w:pPr>
        <w:pStyle w:val="ListParagraph"/>
        <w:numPr>
          <w:ilvl w:val="0"/>
          <w:numId w:val="5"/>
        </w:numPr>
        <w:jc w:val="both"/>
        <w:rPr>
          <w:sz w:val="18"/>
          <w:szCs w:val="18"/>
        </w:rPr>
      </w:pPr>
      <w:r w:rsidRPr="003E0B96">
        <w:rPr>
          <w:iCs/>
          <w:sz w:val="18"/>
          <w:szCs w:val="18"/>
        </w:rPr>
        <w:t xml:space="preserve">Tratar apenas os dados pessoais que sejam adequados, pertinentes e limitados às finalidades para as quais são recolhidos, não os tratando posteriormente de forma incompatível com essas finalidades; </w:t>
      </w:r>
    </w:p>
    <w:p w14:paraId="0C4F5026" w14:textId="77777777" w:rsidR="00E5779D" w:rsidRPr="003E0B96" w:rsidRDefault="00E5779D" w:rsidP="00937CBB">
      <w:pPr>
        <w:pStyle w:val="ListParagraph"/>
        <w:numPr>
          <w:ilvl w:val="0"/>
          <w:numId w:val="5"/>
        </w:numPr>
        <w:jc w:val="both"/>
        <w:rPr>
          <w:sz w:val="18"/>
          <w:szCs w:val="18"/>
        </w:rPr>
      </w:pPr>
      <w:r w:rsidRPr="003E0B96">
        <w:rPr>
          <w:iCs/>
          <w:sz w:val="18"/>
          <w:szCs w:val="18"/>
        </w:rPr>
        <w:t xml:space="preserve">Prestar, de forma clara e acessível, todas as informações necessárias sobre o tratamento de dados pessoais; </w:t>
      </w:r>
    </w:p>
    <w:p w14:paraId="0A5A700C" w14:textId="66D3A595" w:rsidR="00E5779D" w:rsidRPr="003E0B96" w:rsidRDefault="00E5779D" w:rsidP="00937CBB">
      <w:pPr>
        <w:pStyle w:val="ListParagraph"/>
        <w:numPr>
          <w:ilvl w:val="0"/>
          <w:numId w:val="5"/>
        </w:numPr>
        <w:jc w:val="both"/>
        <w:rPr>
          <w:sz w:val="18"/>
          <w:szCs w:val="18"/>
        </w:rPr>
      </w:pPr>
      <w:r w:rsidRPr="003E0B96">
        <w:rPr>
          <w:iCs/>
          <w:sz w:val="18"/>
          <w:szCs w:val="18"/>
        </w:rPr>
        <w:t xml:space="preserve">Garantir que o acesso aos dados pessoais </w:t>
      </w:r>
      <w:r w:rsidR="006876A2">
        <w:rPr>
          <w:iCs/>
          <w:sz w:val="18"/>
          <w:szCs w:val="18"/>
        </w:rPr>
        <w:t>é</w:t>
      </w:r>
      <w:r w:rsidR="006876A2" w:rsidRPr="003E0B96">
        <w:rPr>
          <w:iCs/>
          <w:sz w:val="18"/>
          <w:szCs w:val="18"/>
        </w:rPr>
        <w:t xml:space="preserve"> </w:t>
      </w:r>
      <w:r w:rsidRPr="003E0B96">
        <w:rPr>
          <w:iCs/>
          <w:sz w:val="18"/>
          <w:szCs w:val="18"/>
        </w:rPr>
        <w:t>limitado aos colaboradores e subcontrata</w:t>
      </w:r>
      <w:r w:rsidR="006876A2">
        <w:rPr>
          <w:iCs/>
          <w:sz w:val="18"/>
          <w:szCs w:val="18"/>
        </w:rPr>
        <w:t>dos</w:t>
      </w:r>
      <w:r w:rsidRPr="003E0B96">
        <w:rPr>
          <w:iCs/>
          <w:sz w:val="18"/>
          <w:szCs w:val="18"/>
        </w:rPr>
        <w:t xml:space="preserve"> que necessitem de ter acesso aos dados para efeitos da execução do presente Contrato, e que os mesmos assumem um compromisso de confidencialidade e cumprem a legislação em matéria de proteção de dados </w:t>
      </w:r>
      <w:r w:rsidR="006876A2">
        <w:rPr>
          <w:iCs/>
          <w:sz w:val="18"/>
          <w:szCs w:val="18"/>
        </w:rPr>
        <w:t xml:space="preserve">pessoais </w:t>
      </w:r>
      <w:r w:rsidRPr="003E0B96">
        <w:rPr>
          <w:iCs/>
          <w:sz w:val="18"/>
          <w:szCs w:val="18"/>
        </w:rPr>
        <w:t>e de privacidade aplicável;</w:t>
      </w:r>
    </w:p>
    <w:p w14:paraId="30674B24" w14:textId="6084452E" w:rsidR="00E5779D" w:rsidRPr="00F15D27" w:rsidRDefault="00E5779D" w:rsidP="00F15D27">
      <w:pPr>
        <w:pStyle w:val="ListParagraph"/>
        <w:numPr>
          <w:ilvl w:val="0"/>
          <w:numId w:val="5"/>
        </w:numPr>
        <w:jc w:val="both"/>
        <w:rPr>
          <w:bCs/>
          <w:i/>
          <w:color w:val="434A4F"/>
          <w:sz w:val="20"/>
          <w:szCs w:val="20"/>
        </w:rPr>
      </w:pPr>
      <w:r w:rsidRPr="003E0B96">
        <w:rPr>
          <w:iCs/>
          <w:sz w:val="18"/>
          <w:szCs w:val="18"/>
        </w:rPr>
        <w:t xml:space="preserve">Conservar os dados pessoais pelo período estritamente necessário à finalidade a que se destinam, sem prejuízo da conservação dos mesmos por um período mais longo </w:t>
      </w:r>
      <w:r w:rsidR="00F15D27">
        <w:rPr>
          <w:iCs/>
          <w:sz w:val="18"/>
          <w:szCs w:val="18"/>
        </w:rPr>
        <w:t xml:space="preserve">em cumprimento de obrigações </w:t>
      </w:r>
      <w:r w:rsidRPr="003E0B96">
        <w:rPr>
          <w:iCs/>
          <w:sz w:val="18"/>
          <w:szCs w:val="18"/>
        </w:rPr>
        <w:t>legais em vigor</w:t>
      </w:r>
      <w:r w:rsidR="00F15D27">
        <w:rPr>
          <w:iCs/>
          <w:sz w:val="18"/>
          <w:szCs w:val="18"/>
        </w:rPr>
        <w:t xml:space="preserve"> </w:t>
      </w:r>
      <w:r w:rsidR="00F15D27" w:rsidRPr="00F15D27">
        <w:rPr>
          <w:iCs/>
          <w:sz w:val="18"/>
          <w:szCs w:val="18"/>
        </w:rPr>
        <w:t>(e pelo período definido nas mesmas) ou, em caso de procedimento contraordenacional ou judicial, até seis meses após o trânsito em julgado da respetiva sentença</w:t>
      </w:r>
      <w:r w:rsidRPr="00F15D27">
        <w:rPr>
          <w:iCs/>
          <w:sz w:val="18"/>
          <w:szCs w:val="18"/>
        </w:rPr>
        <w:t>.</w:t>
      </w:r>
    </w:p>
    <w:p w14:paraId="728F192B" w14:textId="7F9A11BC" w:rsidR="00E5779D" w:rsidRPr="003E0B96" w:rsidRDefault="00E5779D" w:rsidP="00937CBB">
      <w:pPr>
        <w:pStyle w:val="ListParagraph"/>
        <w:numPr>
          <w:ilvl w:val="1"/>
          <w:numId w:val="1"/>
        </w:numPr>
        <w:ind w:left="284" w:hanging="568"/>
        <w:jc w:val="both"/>
        <w:rPr>
          <w:sz w:val="18"/>
          <w:szCs w:val="18"/>
        </w:rPr>
      </w:pPr>
      <w:r w:rsidRPr="003E0B96">
        <w:rPr>
          <w:sz w:val="18"/>
          <w:szCs w:val="18"/>
        </w:rPr>
        <w:t>O tratamento dos dados pessoais no âmbito do presente Contrato tem as seguintes finalidades, fundamentos de licitude e prazos de conservação:</w:t>
      </w:r>
    </w:p>
    <w:tbl>
      <w:tblPr>
        <w:tblStyle w:val="TableGrid"/>
        <w:tblW w:w="0" w:type="auto"/>
        <w:tblInd w:w="459" w:type="dxa"/>
        <w:tblLook w:val="04A0" w:firstRow="1" w:lastRow="0" w:firstColumn="1" w:lastColumn="0" w:noHBand="0" w:noVBand="1"/>
      </w:tblPr>
      <w:tblGrid>
        <w:gridCol w:w="2059"/>
        <w:gridCol w:w="1698"/>
        <w:gridCol w:w="2147"/>
        <w:gridCol w:w="2131"/>
      </w:tblGrid>
      <w:tr w:rsidR="00E5779D" w:rsidRPr="003E0B96" w14:paraId="4EAC9E3A" w14:textId="77777777" w:rsidTr="00E5779D">
        <w:tc>
          <w:tcPr>
            <w:tcW w:w="2059" w:type="dxa"/>
            <w:shd w:val="clear" w:color="auto" w:fill="D9D9D9" w:themeFill="background1" w:themeFillShade="D9"/>
          </w:tcPr>
          <w:p w14:paraId="76C57A88" w14:textId="77777777" w:rsidR="00E5779D" w:rsidRPr="003E0B96" w:rsidRDefault="00E5779D" w:rsidP="00937CBB">
            <w:pPr>
              <w:spacing w:after="160" w:line="259" w:lineRule="auto"/>
              <w:jc w:val="both"/>
              <w:rPr>
                <w:iCs/>
                <w:sz w:val="18"/>
                <w:szCs w:val="18"/>
              </w:rPr>
            </w:pPr>
            <w:r w:rsidRPr="003E0B96">
              <w:rPr>
                <w:iCs/>
                <w:sz w:val="18"/>
                <w:szCs w:val="18"/>
              </w:rPr>
              <w:t>FINALIDADES</w:t>
            </w:r>
          </w:p>
        </w:tc>
        <w:tc>
          <w:tcPr>
            <w:tcW w:w="1698" w:type="dxa"/>
            <w:shd w:val="clear" w:color="auto" w:fill="D9D9D9" w:themeFill="background1" w:themeFillShade="D9"/>
          </w:tcPr>
          <w:p w14:paraId="549869BF" w14:textId="48C3B00E" w:rsidR="00E5779D" w:rsidRPr="003E0B96" w:rsidRDefault="00E5779D" w:rsidP="00937CBB">
            <w:pPr>
              <w:jc w:val="both"/>
              <w:rPr>
                <w:iCs/>
                <w:sz w:val="18"/>
                <w:szCs w:val="18"/>
              </w:rPr>
            </w:pPr>
            <w:r w:rsidRPr="003E0B96">
              <w:rPr>
                <w:iCs/>
                <w:sz w:val="18"/>
                <w:szCs w:val="18"/>
              </w:rPr>
              <w:t>TRATAMENTO DE DADOS</w:t>
            </w:r>
          </w:p>
        </w:tc>
        <w:tc>
          <w:tcPr>
            <w:tcW w:w="2147" w:type="dxa"/>
            <w:shd w:val="clear" w:color="auto" w:fill="D9D9D9" w:themeFill="background1" w:themeFillShade="D9"/>
          </w:tcPr>
          <w:p w14:paraId="10FAB39D" w14:textId="150AA63F" w:rsidR="00E5779D" w:rsidRPr="003E0B96" w:rsidRDefault="00E5779D" w:rsidP="00937CBB">
            <w:pPr>
              <w:spacing w:after="160" w:line="259" w:lineRule="auto"/>
              <w:jc w:val="both"/>
              <w:rPr>
                <w:iCs/>
                <w:sz w:val="18"/>
                <w:szCs w:val="18"/>
              </w:rPr>
            </w:pPr>
            <w:r w:rsidRPr="003E0B96">
              <w:rPr>
                <w:iCs/>
                <w:sz w:val="18"/>
                <w:szCs w:val="18"/>
              </w:rPr>
              <w:t>FUNDAMENTOS DE LICITUDE</w:t>
            </w:r>
          </w:p>
        </w:tc>
        <w:tc>
          <w:tcPr>
            <w:tcW w:w="2131" w:type="dxa"/>
            <w:shd w:val="clear" w:color="auto" w:fill="D9D9D9" w:themeFill="background1" w:themeFillShade="D9"/>
          </w:tcPr>
          <w:p w14:paraId="7CC9396A" w14:textId="77777777" w:rsidR="00E5779D" w:rsidRPr="003E0B96" w:rsidRDefault="00E5779D" w:rsidP="00937CBB">
            <w:pPr>
              <w:spacing w:after="160" w:line="259" w:lineRule="auto"/>
              <w:jc w:val="both"/>
              <w:rPr>
                <w:iCs/>
                <w:sz w:val="18"/>
                <w:szCs w:val="18"/>
              </w:rPr>
            </w:pPr>
            <w:r w:rsidRPr="003E0B96">
              <w:rPr>
                <w:iCs/>
                <w:sz w:val="18"/>
                <w:szCs w:val="18"/>
              </w:rPr>
              <w:t>PRAZOS DE CONSERVAÇÃO</w:t>
            </w:r>
          </w:p>
        </w:tc>
      </w:tr>
      <w:tr w:rsidR="000278AF" w:rsidRPr="003E0B96" w14:paraId="754835CA" w14:textId="77777777" w:rsidTr="000278AF">
        <w:trPr>
          <w:trHeight w:val="530"/>
        </w:trPr>
        <w:tc>
          <w:tcPr>
            <w:tcW w:w="2059" w:type="dxa"/>
            <w:vMerge w:val="restart"/>
          </w:tcPr>
          <w:p w14:paraId="7D0BBFB0" w14:textId="77777777" w:rsidR="000278AF" w:rsidRPr="003E0B96" w:rsidRDefault="000278AF" w:rsidP="00542C0F">
            <w:pPr>
              <w:spacing w:after="160" w:line="259" w:lineRule="auto"/>
              <w:rPr>
                <w:iCs/>
                <w:sz w:val="18"/>
                <w:szCs w:val="18"/>
              </w:rPr>
            </w:pPr>
          </w:p>
          <w:p w14:paraId="2C3529E4" w14:textId="77777777" w:rsidR="000278AF" w:rsidRPr="003E0B96" w:rsidRDefault="000278AF" w:rsidP="00542C0F">
            <w:pPr>
              <w:spacing w:after="160" w:line="259" w:lineRule="auto"/>
              <w:rPr>
                <w:iCs/>
                <w:sz w:val="18"/>
                <w:szCs w:val="18"/>
              </w:rPr>
            </w:pPr>
          </w:p>
          <w:p w14:paraId="01F4B560" w14:textId="77777777" w:rsidR="000278AF" w:rsidRPr="003E0B96" w:rsidRDefault="000278AF" w:rsidP="00542C0F">
            <w:pPr>
              <w:spacing w:after="160" w:line="259" w:lineRule="auto"/>
              <w:rPr>
                <w:iCs/>
                <w:sz w:val="18"/>
                <w:szCs w:val="18"/>
              </w:rPr>
            </w:pPr>
          </w:p>
          <w:p w14:paraId="35DBD62C" w14:textId="77777777" w:rsidR="000278AF" w:rsidRPr="003E0B96" w:rsidRDefault="000278AF" w:rsidP="00542C0F">
            <w:pPr>
              <w:spacing w:after="160" w:line="259" w:lineRule="auto"/>
              <w:rPr>
                <w:iCs/>
                <w:sz w:val="18"/>
                <w:szCs w:val="18"/>
              </w:rPr>
            </w:pPr>
          </w:p>
          <w:p w14:paraId="4F3F07B0" w14:textId="4DB4385D" w:rsidR="000278AF" w:rsidRPr="003E0B96" w:rsidRDefault="000278AF" w:rsidP="00542C0F">
            <w:pPr>
              <w:spacing w:after="160" w:line="259" w:lineRule="auto"/>
              <w:rPr>
                <w:iCs/>
                <w:sz w:val="18"/>
                <w:szCs w:val="18"/>
              </w:rPr>
            </w:pPr>
            <w:r w:rsidRPr="003E0B96">
              <w:rPr>
                <w:iCs/>
                <w:sz w:val="18"/>
                <w:szCs w:val="18"/>
              </w:rPr>
              <w:t>Gestão da relação contratual</w:t>
            </w:r>
          </w:p>
        </w:tc>
        <w:tc>
          <w:tcPr>
            <w:tcW w:w="1698" w:type="dxa"/>
          </w:tcPr>
          <w:p w14:paraId="68B66F77" w14:textId="0F638E81" w:rsidR="000278AF" w:rsidRPr="003E0B96" w:rsidRDefault="000278AF" w:rsidP="00542C0F">
            <w:pPr>
              <w:rPr>
                <w:iCs/>
                <w:sz w:val="18"/>
                <w:szCs w:val="18"/>
              </w:rPr>
            </w:pPr>
            <w:r w:rsidRPr="003E0B96">
              <w:rPr>
                <w:iCs/>
                <w:sz w:val="18"/>
                <w:szCs w:val="18"/>
              </w:rPr>
              <w:t>Gestão de Contratos</w:t>
            </w:r>
          </w:p>
        </w:tc>
        <w:tc>
          <w:tcPr>
            <w:tcW w:w="2147" w:type="dxa"/>
          </w:tcPr>
          <w:p w14:paraId="4016C500" w14:textId="2C5EAC4E" w:rsidR="000278AF" w:rsidRPr="003E0B96" w:rsidRDefault="000278AF" w:rsidP="00542C0F">
            <w:pPr>
              <w:spacing w:after="160" w:line="259" w:lineRule="auto"/>
              <w:rPr>
                <w:iCs/>
                <w:sz w:val="18"/>
                <w:szCs w:val="18"/>
              </w:rPr>
            </w:pPr>
            <w:r w:rsidRPr="003E0B96">
              <w:rPr>
                <w:iCs/>
                <w:sz w:val="18"/>
                <w:szCs w:val="18"/>
              </w:rPr>
              <w:t>Diligências pré-contratuais ou Execução do Contrato entre o Cliente e a Lisboagás</w:t>
            </w:r>
          </w:p>
        </w:tc>
        <w:tc>
          <w:tcPr>
            <w:tcW w:w="2131" w:type="dxa"/>
          </w:tcPr>
          <w:p w14:paraId="44907794" w14:textId="4189749A" w:rsidR="000278AF" w:rsidRPr="003E0B96" w:rsidRDefault="000278AF" w:rsidP="00542C0F">
            <w:pPr>
              <w:spacing w:after="160" w:line="259" w:lineRule="auto"/>
              <w:rPr>
                <w:iCs/>
                <w:sz w:val="18"/>
                <w:szCs w:val="18"/>
              </w:rPr>
            </w:pPr>
            <w:r w:rsidRPr="003E0B96">
              <w:rPr>
                <w:iCs/>
                <w:sz w:val="18"/>
                <w:szCs w:val="18"/>
              </w:rPr>
              <w:t>Até 1 (um) ano após a conclusão do Contrato, sem prejuízo da conservação dos dados por um período mais alargado para o cumprimento de uma obrigação contratual e/ou legal.</w:t>
            </w:r>
          </w:p>
        </w:tc>
      </w:tr>
      <w:tr w:rsidR="000278AF" w:rsidRPr="003E0B96" w14:paraId="0841B8D0" w14:textId="77777777" w:rsidTr="000278AF">
        <w:trPr>
          <w:trHeight w:val="883"/>
        </w:trPr>
        <w:tc>
          <w:tcPr>
            <w:tcW w:w="2059" w:type="dxa"/>
            <w:vMerge/>
          </w:tcPr>
          <w:p w14:paraId="469F71E7" w14:textId="77777777" w:rsidR="000278AF" w:rsidRPr="003E0B96" w:rsidRDefault="000278AF" w:rsidP="00542C0F">
            <w:pPr>
              <w:rPr>
                <w:iCs/>
                <w:sz w:val="18"/>
                <w:szCs w:val="18"/>
              </w:rPr>
            </w:pPr>
          </w:p>
        </w:tc>
        <w:tc>
          <w:tcPr>
            <w:tcW w:w="1698" w:type="dxa"/>
          </w:tcPr>
          <w:p w14:paraId="5A656846" w14:textId="77777777" w:rsidR="000278AF" w:rsidRPr="003E0B96" w:rsidRDefault="000278AF" w:rsidP="00542C0F">
            <w:pPr>
              <w:rPr>
                <w:iCs/>
                <w:sz w:val="18"/>
                <w:szCs w:val="18"/>
              </w:rPr>
            </w:pPr>
          </w:p>
          <w:p w14:paraId="6DE186C7" w14:textId="61FA4CE9" w:rsidR="000278AF" w:rsidRPr="003E0B96" w:rsidRDefault="000278AF" w:rsidP="00542C0F">
            <w:pPr>
              <w:rPr>
                <w:iCs/>
                <w:sz w:val="18"/>
                <w:szCs w:val="18"/>
              </w:rPr>
            </w:pPr>
            <w:r w:rsidRPr="003E0B96">
              <w:rPr>
                <w:iCs/>
                <w:sz w:val="18"/>
                <w:szCs w:val="18"/>
              </w:rPr>
              <w:t>Gravação de chamadas para a prova da relação contratual</w:t>
            </w:r>
          </w:p>
        </w:tc>
        <w:tc>
          <w:tcPr>
            <w:tcW w:w="2147" w:type="dxa"/>
            <w:vMerge w:val="restart"/>
          </w:tcPr>
          <w:p w14:paraId="05747925" w14:textId="77777777" w:rsidR="000278AF" w:rsidRPr="003E0B96" w:rsidRDefault="000278AF" w:rsidP="00542C0F">
            <w:pPr>
              <w:spacing w:after="160" w:line="259" w:lineRule="auto"/>
              <w:rPr>
                <w:iCs/>
                <w:sz w:val="18"/>
                <w:szCs w:val="18"/>
              </w:rPr>
            </w:pPr>
          </w:p>
          <w:p w14:paraId="317C3F2D" w14:textId="77777777" w:rsidR="000278AF" w:rsidRPr="003E0B96" w:rsidRDefault="000278AF" w:rsidP="00542C0F">
            <w:pPr>
              <w:spacing w:after="160" w:line="259" w:lineRule="auto"/>
              <w:rPr>
                <w:iCs/>
                <w:sz w:val="18"/>
                <w:szCs w:val="18"/>
              </w:rPr>
            </w:pPr>
          </w:p>
          <w:p w14:paraId="5CC7DEDC" w14:textId="77777777" w:rsidR="000278AF" w:rsidRPr="003E0B96" w:rsidRDefault="000278AF" w:rsidP="00542C0F">
            <w:pPr>
              <w:spacing w:after="160" w:line="259" w:lineRule="auto"/>
              <w:rPr>
                <w:iCs/>
                <w:sz w:val="18"/>
                <w:szCs w:val="18"/>
              </w:rPr>
            </w:pPr>
          </w:p>
          <w:p w14:paraId="7FFC74A7" w14:textId="7F5E3944" w:rsidR="000278AF" w:rsidRPr="003E0B96" w:rsidRDefault="000278AF" w:rsidP="00542C0F">
            <w:pPr>
              <w:spacing w:after="160" w:line="259" w:lineRule="auto"/>
              <w:rPr>
                <w:iCs/>
                <w:sz w:val="18"/>
                <w:szCs w:val="18"/>
              </w:rPr>
            </w:pPr>
            <w:r w:rsidRPr="003E0B96">
              <w:rPr>
                <w:iCs/>
                <w:sz w:val="18"/>
                <w:szCs w:val="18"/>
              </w:rPr>
              <w:t>Consentimento</w:t>
            </w:r>
          </w:p>
        </w:tc>
        <w:tc>
          <w:tcPr>
            <w:tcW w:w="2131" w:type="dxa"/>
          </w:tcPr>
          <w:p w14:paraId="184D2111" w14:textId="77777777" w:rsidR="000278AF" w:rsidRPr="003E0B96" w:rsidRDefault="000278AF" w:rsidP="00542C0F">
            <w:pPr>
              <w:spacing w:after="160" w:line="259" w:lineRule="auto"/>
              <w:rPr>
                <w:iCs/>
                <w:sz w:val="18"/>
                <w:szCs w:val="18"/>
              </w:rPr>
            </w:pPr>
          </w:p>
          <w:p w14:paraId="13142E52" w14:textId="37822EE0" w:rsidR="000278AF" w:rsidRPr="003E0B96" w:rsidRDefault="000278AF" w:rsidP="00542C0F">
            <w:pPr>
              <w:spacing w:after="160" w:line="259" w:lineRule="auto"/>
              <w:rPr>
                <w:iCs/>
                <w:sz w:val="18"/>
                <w:szCs w:val="18"/>
              </w:rPr>
            </w:pPr>
            <w:r w:rsidRPr="003E0B96">
              <w:rPr>
                <w:iCs/>
                <w:sz w:val="18"/>
                <w:szCs w:val="18"/>
              </w:rPr>
              <w:t>Até 24 (vinte e quatro) meses após a gravação das chamadas</w:t>
            </w:r>
          </w:p>
        </w:tc>
      </w:tr>
      <w:tr w:rsidR="000278AF" w:rsidRPr="003E0B96" w14:paraId="5978BAC8" w14:textId="77777777" w:rsidTr="00E5779D">
        <w:trPr>
          <w:trHeight w:val="415"/>
        </w:trPr>
        <w:tc>
          <w:tcPr>
            <w:tcW w:w="2059" w:type="dxa"/>
            <w:vMerge/>
          </w:tcPr>
          <w:p w14:paraId="76C4AAA1" w14:textId="77777777" w:rsidR="000278AF" w:rsidRPr="003E0B96" w:rsidRDefault="000278AF" w:rsidP="00542C0F">
            <w:pPr>
              <w:rPr>
                <w:iCs/>
                <w:sz w:val="18"/>
                <w:szCs w:val="18"/>
              </w:rPr>
            </w:pPr>
          </w:p>
        </w:tc>
        <w:tc>
          <w:tcPr>
            <w:tcW w:w="1698" w:type="dxa"/>
          </w:tcPr>
          <w:p w14:paraId="71D2D6D9" w14:textId="7B6D8D44" w:rsidR="000278AF" w:rsidRPr="003E0B96" w:rsidRDefault="000278AF" w:rsidP="00542C0F">
            <w:pPr>
              <w:rPr>
                <w:iCs/>
                <w:sz w:val="18"/>
                <w:szCs w:val="18"/>
              </w:rPr>
            </w:pPr>
            <w:r w:rsidRPr="003E0B96">
              <w:rPr>
                <w:iCs/>
                <w:sz w:val="18"/>
                <w:szCs w:val="18"/>
              </w:rPr>
              <w:t>Gravação de chamadas para a monitorização da qualidade de atendimento</w:t>
            </w:r>
          </w:p>
        </w:tc>
        <w:tc>
          <w:tcPr>
            <w:tcW w:w="2147" w:type="dxa"/>
            <w:vMerge/>
          </w:tcPr>
          <w:p w14:paraId="4089467B" w14:textId="77777777" w:rsidR="000278AF" w:rsidRPr="003E0B96" w:rsidRDefault="000278AF" w:rsidP="00542C0F">
            <w:pPr>
              <w:rPr>
                <w:iCs/>
                <w:sz w:val="18"/>
                <w:szCs w:val="18"/>
              </w:rPr>
            </w:pPr>
          </w:p>
        </w:tc>
        <w:tc>
          <w:tcPr>
            <w:tcW w:w="2131" w:type="dxa"/>
          </w:tcPr>
          <w:p w14:paraId="66F3B9D6" w14:textId="77777777" w:rsidR="000278AF" w:rsidRPr="003E0B96" w:rsidRDefault="000278AF" w:rsidP="00542C0F">
            <w:pPr>
              <w:rPr>
                <w:iCs/>
                <w:sz w:val="18"/>
                <w:szCs w:val="18"/>
              </w:rPr>
            </w:pPr>
          </w:p>
          <w:p w14:paraId="6D61BC11" w14:textId="48650814" w:rsidR="000278AF" w:rsidRPr="003E0B96" w:rsidRDefault="000278AF" w:rsidP="00542C0F">
            <w:pPr>
              <w:rPr>
                <w:iCs/>
                <w:sz w:val="18"/>
                <w:szCs w:val="18"/>
              </w:rPr>
            </w:pPr>
            <w:r w:rsidRPr="003E0B96">
              <w:rPr>
                <w:iCs/>
                <w:sz w:val="18"/>
                <w:szCs w:val="18"/>
              </w:rPr>
              <w:t>Até 30 (trinta) dias após a gravação das chamadas</w:t>
            </w:r>
          </w:p>
        </w:tc>
      </w:tr>
      <w:tr w:rsidR="000278AF" w:rsidRPr="003E0B96" w14:paraId="1CD879E8" w14:textId="77777777" w:rsidTr="000278AF">
        <w:trPr>
          <w:trHeight w:val="503"/>
        </w:trPr>
        <w:tc>
          <w:tcPr>
            <w:tcW w:w="2059" w:type="dxa"/>
            <w:vMerge w:val="restart"/>
          </w:tcPr>
          <w:p w14:paraId="546DF57B" w14:textId="77777777" w:rsidR="000278AF" w:rsidRPr="003E0B96" w:rsidRDefault="000278AF" w:rsidP="00542C0F">
            <w:pPr>
              <w:spacing w:after="160" w:line="259" w:lineRule="auto"/>
              <w:rPr>
                <w:iCs/>
                <w:sz w:val="18"/>
                <w:szCs w:val="18"/>
              </w:rPr>
            </w:pPr>
            <w:r w:rsidRPr="003E0B96">
              <w:rPr>
                <w:iCs/>
                <w:sz w:val="18"/>
                <w:szCs w:val="18"/>
              </w:rPr>
              <w:t>Atividade comercial</w:t>
            </w:r>
            <w:r w:rsidRPr="003E0B96">
              <w:rPr>
                <w:iCs/>
                <w:sz w:val="18"/>
                <w:szCs w:val="18"/>
              </w:rPr>
              <w:br/>
              <w:t>e de marketing</w:t>
            </w:r>
          </w:p>
          <w:p w14:paraId="6E447C18" w14:textId="77777777" w:rsidR="000278AF" w:rsidRPr="003E0B96" w:rsidRDefault="000278AF" w:rsidP="00542C0F">
            <w:pPr>
              <w:spacing w:after="160" w:line="259" w:lineRule="auto"/>
              <w:rPr>
                <w:iCs/>
                <w:sz w:val="18"/>
                <w:szCs w:val="18"/>
              </w:rPr>
            </w:pPr>
          </w:p>
        </w:tc>
        <w:tc>
          <w:tcPr>
            <w:tcW w:w="1698" w:type="dxa"/>
          </w:tcPr>
          <w:p w14:paraId="3EB217EE" w14:textId="2DD6B70F" w:rsidR="000278AF" w:rsidRPr="003E0B96" w:rsidRDefault="000278AF" w:rsidP="00542C0F">
            <w:pPr>
              <w:rPr>
                <w:iCs/>
                <w:sz w:val="18"/>
                <w:szCs w:val="18"/>
              </w:rPr>
            </w:pPr>
            <w:r w:rsidRPr="003E0B96">
              <w:rPr>
                <w:iCs/>
                <w:sz w:val="18"/>
                <w:szCs w:val="18"/>
                <w:lang w:val="en-GB"/>
              </w:rPr>
              <w:t xml:space="preserve">Marketing </w:t>
            </w:r>
            <w:proofErr w:type="spellStart"/>
            <w:r w:rsidRPr="003E0B96">
              <w:rPr>
                <w:iCs/>
                <w:sz w:val="18"/>
                <w:szCs w:val="18"/>
                <w:lang w:val="en-GB"/>
              </w:rPr>
              <w:t>direto</w:t>
            </w:r>
            <w:proofErr w:type="spellEnd"/>
          </w:p>
        </w:tc>
        <w:tc>
          <w:tcPr>
            <w:tcW w:w="2147" w:type="dxa"/>
          </w:tcPr>
          <w:p w14:paraId="54598C58" w14:textId="0CF67835" w:rsidR="000278AF" w:rsidRPr="003E0B96" w:rsidRDefault="000278AF" w:rsidP="00542C0F">
            <w:pPr>
              <w:spacing w:after="160" w:line="259" w:lineRule="auto"/>
              <w:rPr>
                <w:iCs/>
                <w:sz w:val="18"/>
                <w:szCs w:val="18"/>
              </w:rPr>
            </w:pPr>
            <w:r w:rsidRPr="003E0B96">
              <w:rPr>
                <w:iCs/>
                <w:sz w:val="18"/>
                <w:szCs w:val="18"/>
              </w:rPr>
              <w:t xml:space="preserve">Interesse legítimo (soft </w:t>
            </w:r>
            <w:proofErr w:type="spellStart"/>
            <w:r w:rsidRPr="003E0B96">
              <w:rPr>
                <w:iCs/>
                <w:sz w:val="18"/>
                <w:szCs w:val="18"/>
              </w:rPr>
              <w:t>opt</w:t>
            </w:r>
            <w:proofErr w:type="spellEnd"/>
            <w:r w:rsidRPr="003E0B96">
              <w:rPr>
                <w:iCs/>
                <w:sz w:val="18"/>
                <w:szCs w:val="18"/>
              </w:rPr>
              <w:t>-in) para o envio de comunicações no âmbito do Contrato</w:t>
            </w:r>
          </w:p>
        </w:tc>
        <w:tc>
          <w:tcPr>
            <w:tcW w:w="2131" w:type="dxa"/>
          </w:tcPr>
          <w:p w14:paraId="6123DA7F" w14:textId="77777777" w:rsidR="000278AF" w:rsidRPr="003E0B96" w:rsidRDefault="000278AF" w:rsidP="00542C0F">
            <w:pPr>
              <w:spacing w:after="160" w:line="259" w:lineRule="auto"/>
              <w:rPr>
                <w:iCs/>
                <w:sz w:val="18"/>
                <w:szCs w:val="18"/>
              </w:rPr>
            </w:pPr>
          </w:p>
          <w:p w14:paraId="0E175CDD" w14:textId="43E91DAA" w:rsidR="000278AF" w:rsidRPr="003E0B96" w:rsidRDefault="000278AF" w:rsidP="00542C0F">
            <w:pPr>
              <w:spacing w:after="160" w:line="259" w:lineRule="auto"/>
              <w:rPr>
                <w:iCs/>
                <w:sz w:val="18"/>
                <w:szCs w:val="18"/>
              </w:rPr>
            </w:pPr>
            <w:r w:rsidRPr="003E0B96">
              <w:rPr>
                <w:iCs/>
                <w:sz w:val="18"/>
                <w:szCs w:val="18"/>
              </w:rPr>
              <w:t>Até 1 (um) ano após a conclusão do Contrato</w:t>
            </w:r>
          </w:p>
          <w:p w14:paraId="0A69EDE7" w14:textId="3B6ADFC5" w:rsidR="000278AF" w:rsidRPr="003E0B96" w:rsidRDefault="000278AF" w:rsidP="00542C0F">
            <w:pPr>
              <w:ind w:firstLine="708"/>
              <w:rPr>
                <w:sz w:val="18"/>
                <w:szCs w:val="18"/>
              </w:rPr>
            </w:pPr>
          </w:p>
        </w:tc>
      </w:tr>
      <w:tr w:rsidR="000278AF" w:rsidRPr="003E0B96" w14:paraId="086B53EB" w14:textId="77777777" w:rsidTr="00E5779D">
        <w:trPr>
          <w:trHeight w:val="442"/>
        </w:trPr>
        <w:tc>
          <w:tcPr>
            <w:tcW w:w="2059" w:type="dxa"/>
            <w:vMerge/>
          </w:tcPr>
          <w:p w14:paraId="7D009415" w14:textId="77777777" w:rsidR="000278AF" w:rsidRPr="003E0B96" w:rsidRDefault="000278AF" w:rsidP="00542C0F">
            <w:pPr>
              <w:rPr>
                <w:iCs/>
                <w:sz w:val="18"/>
                <w:szCs w:val="18"/>
              </w:rPr>
            </w:pPr>
          </w:p>
        </w:tc>
        <w:tc>
          <w:tcPr>
            <w:tcW w:w="1698" w:type="dxa"/>
          </w:tcPr>
          <w:p w14:paraId="1A3DF3F3" w14:textId="57460DBF" w:rsidR="000278AF" w:rsidRPr="003E0B96" w:rsidRDefault="000278AF" w:rsidP="00542C0F">
            <w:pPr>
              <w:rPr>
                <w:iCs/>
                <w:sz w:val="18"/>
                <w:szCs w:val="18"/>
              </w:rPr>
            </w:pPr>
            <w:r w:rsidRPr="003E0B96">
              <w:rPr>
                <w:iCs/>
                <w:sz w:val="18"/>
                <w:szCs w:val="18"/>
              </w:rPr>
              <w:t>Realização de inquéritos de opinião/satisfação</w:t>
            </w:r>
          </w:p>
        </w:tc>
        <w:tc>
          <w:tcPr>
            <w:tcW w:w="2147" w:type="dxa"/>
          </w:tcPr>
          <w:p w14:paraId="0F2E1FF5" w14:textId="31DE4186" w:rsidR="000278AF" w:rsidRPr="003E0B96" w:rsidRDefault="000278AF" w:rsidP="00542C0F">
            <w:pPr>
              <w:rPr>
                <w:iCs/>
                <w:sz w:val="18"/>
                <w:szCs w:val="18"/>
              </w:rPr>
            </w:pPr>
            <w:r w:rsidRPr="003E0B96">
              <w:rPr>
                <w:iCs/>
                <w:sz w:val="18"/>
                <w:szCs w:val="18"/>
              </w:rPr>
              <w:t>Interesse Legítimo (se realizado na sequência de uma interação com o Cliente)</w:t>
            </w:r>
          </w:p>
          <w:p w14:paraId="55C470BE" w14:textId="0861134D" w:rsidR="000278AF" w:rsidRPr="003E0B96" w:rsidRDefault="000278AF" w:rsidP="00542C0F">
            <w:pPr>
              <w:ind w:firstLine="708"/>
              <w:rPr>
                <w:sz w:val="18"/>
                <w:szCs w:val="18"/>
              </w:rPr>
            </w:pPr>
          </w:p>
        </w:tc>
        <w:tc>
          <w:tcPr>
            <w:tcW w:w="2131" w:type="dxa"/>
          </w:tcPr>
          <w:p w14:paraId="67124B8C" w14:textId="77777777" w:rsidR="000278AF" w:rsidRPr="003E0B96" w:rsidRDefault="000278AF" w:rsidP="00542C0F">
            <w:pPr>
              <w:rPr>
                <w:iCs/>
                <w:sz w:val="18"/>
                <w:szCs w:val="18"/>
              </w:rPr>
            </w:pPr>
          </w:p>
          <w:p w14:paraId="6C25FD17" w14:textId="5119D522" w:rsidR="000278AF" w:rsidRPr="003E0B96" w:rsidRDefault="000278AF" w:rsidP="00542C0F">
            <w:pPr>
              <w:rPr>
                <w:iCs/>
                <w:sz w:val="18"/>
                <w:szCs w:val="18"/>
              </w:rPr>
            </w:pPr>
            <w:r w:rsidRPr="003E0B96">
              <w:rPr>
                <w:iCs/>
                <w:sz w:val="18"/>
                <w:szCs w:val="18"/>
              </w:rPr>
              <w:t xml:space="preserve">Até 1 (um) ano após o </w:t>
            </w:r>
            <w:r w:rsidRPr="003E0B96">
              <w:rPr>
                <w:iCs/>
                <w:sz w:val="18"/>
                <w:szCs w:val="18"/>
              </w:rPr>
              <w:br/>
              <w:t xml:space="preserve"> último contacto</w:t>
            </w:r>
          </w:p>
        </w:tc>
      </w:tr>
    </w:tbl>
    <w:p w14:paraId="37C97B98" w14:textId="77777777" w:rsidR="00E5779D" w:rsidRPr="003E0B96" w:rsidRDefault="00E5779D" w:rsidP="00937CBB">
      <w:pPr>
        <w:jc w:val="both"/>
        <w:rPr>
          <w:iCs/>
          <w:sz w:val="18"/>
          <w:szCs w:val="18"/>
        </w:rPr>
      </w:pPr>
    </w:p>
    <w:p w14:paraId="5B29B20E" w14:textId="5F6B6C3D" w:rsidR="000278AF" w:rsidRPr="003A34FA" w:rsidRDefault="00E5779D" w:rsidP="00937CBB">
      <w:pPr>
        <w:pStyle w:val="ListParagraph"/>
        <w:numPr>
          <w:ilvl w:val="1"/>
          <w:numId w:val="1"/>
        </w:numPr>
        <w:ind w:left="284" w:hanging="568"/>
        <w:jc w:val="both"/>
        <w:rPr>
          <w:sz w:val="18"/>
          <w:szCs w:val="18"/>
        </w:rPr>
      </w:pPr>
      <w:r w:rsidRPr="003E0B96">
        <w:rPr>
          <w:sz w:val="18"/>
          <w:szCs w:val="18"/>
        </w:rPr>
        <w:t xml:space="preserve">Caso o fundamento de licitude para o tratamento dos dados pessoais seja o consentimento o </w:t>
      </w:r>
      <w:r w:rsidR="000278AF" w:rsidRPr="003E0B96">
        <w:rPr>
          <w:sz w:val="18"/>
          <w:szCs w:val="18"/>
        </w:rPr>
        <w:t>Cliente</w:t>
      </w:r>
      <w:r w:rsidRPr="003E0B96">
        <w:rPr>
          <w:sz w:val="18"/>
          <w:szCs w:val="18"/>
        </w:rPr>
        <w:t xml:space="preserve"> pode retirar o </w:t>
      </w:r>
      <w:r w:rsidR="006876A2">
        <w:rPr>
          <w:sz w:val="18"/>
          <w:szCs w:val="18"/>
        </w:rPr>
        <w:t>mesmo</w:t>
      </w:r>
      <w:r w:rsidRPr="003E0B96">
        <w:rPr>
          <w:sz w:val="18"/>
          <w:szCs w:val="18"/>
        </w:rPr>
        <w:t xml:space="preserve">, </w:t>
      </w:r>
      <w:r w:rsidR="006876A2">
        <w:rPr>
          <w:sz w:val="18"/>
          <w:szCs w:val="18"/>
        </w:rPr>
        <w:t xml:space="preserve">de forma livre e gratuita, </w:t>
      </w:r>
      <w:r w:rsidRPr="003E0B96">
        <w:rPr>
          <w:sz w:val="18"/>
          <w:szCs w:val="18"/>
        </w:rPr>
        <w:t xml:space="preserve">a qualquer altura, sem que daí lhe advenha qualquer </w:t>
      </w:r>
      <w:r w:rsidR="000278AF" w:rsidRPr="003E0B96">
        <w:rPr>
          <w:sz w:val="18"/>
          <w:szCs w:val="18"/>
        </w:rPr>
        <w:t>consequência</w:t>
      </w:r>
      <w:r w:rsidR="006876A2">
        <w:rPr>
          <w:sz w:val="18"/>
          <w:szCs w:val="18"/>
        </w:rPr>
        <w:t xml:space="preserve"> negativa. No entanto, a retirada de consentimento não</w:t>
      </w:r>
      <w:r w:rsidRPr="003E0B96">
        <w:rPr>
          <w:sz w:val="18"/>
          <w:szCs w:val="18"/>
        </w:rPr>
        <w:t xml:space="preserve"> </w:t>
      </w:r>
      <w:r w:rsidR="006876A2" w:rsidRPr="003E0B96">
        <w:rPr>
          <w:sz w:val="18"/>
          <w:szCs w:val="18"/>
        </w:rPr>
        <w:t>compromet</w:t>
      </w:r>
      <w:r w:rsidR="006876A2">
        <w:rPr>
          <w:sz w:val="18"/>
          <w:szCs w:val="18"/>
        </w:rPr>
        <w:t>e</w:t>
      </w:r>
      <w:r w:rsidR="006876A2" w:rsidRPr="003E0B96">
        <w:rPr>
          <w:sz w:val="18"/>
          <w:szCs w:val="18"/>
        </w:rPr>
        <w:t xml:space="preserve"> </w:t>
      </w:r>
      <w:r w:rsidRPr="003E0B96">
        <w:rPr>
          <w:sz w:val="18"/>
          <w:szCs w:val="18"/>
        </w:rPr>
        <w:t>a licitude dos tratamentos efetuados</w:t>
      </w:r>
      <w:r w:rsidR="006876A2">
        <w:rPr>
          <w:sz w:val="18"/>
          <w:szCs w:val="18"/>
        </w:rPr>
        <w:t xml:space="preserve"> com base nos consentimentos anteriormente dados</w:t>
      </w:r>
      <w:r w:rsidRPr="003E0B96">
        <w:rPr>
          <w:sz w:val="18"/>
          <w:szCs w:val="18"/>
        </w:rPr>
        <w:t>. Caso seja retirado o consentimento, a L</w:t>
      </w:r>
      <w:r w:rsidR="000278AF" w:rsidRPr="003E0B96">
        <w:rPr>
          <w:sz w:val="18"/>
          <w:szCs w:val="18"/>
        </w:rPr>
        <w:t>isboagás</w:t>
      </w:r>
      <w:r w:rsidRPr="003E0B96">
        <w:rPr>
          <w:sz w:val="18"/>
          <w:szCs w:val="18"/>
        </w:rPr>
        <w:t xml:space="preserve"> </w:t>
      </w:r>
      <w:r w:rsidR="006876A2">
        <w:rPr>
          <w:sz w:val="18"/>
          <w:szCs w:val="18"/>
        </w:rPr>
        <w:t xml:space="preserve">obriga-se a </w:t>
      </w:r>
      <w:r w:rsidRPr="003E0B96">
        <w:rPr>
          <w:sz w:val="18"/>
          <w:szCs w:val="18"/>
        </w:rPr>
        <w:t>cessar imediatamente o tratamento dos dados pessoais</w:t>
      </w:r>
      <w:r w:rsidR="006876A2">
        <w:rPr>
          <w:sz w:val="18"/>
          <w:szCs w:val="18"/>
        </w:rPr>
        <w:t xml:space="preserve"> do Cliente</w:t>
      </w:r>
      <w:r w:rsidRPr="003E0B96">
        <w:rPr>
          <w:sz w:val="18"/>
          <w:szCs w:val="18"/>
        </w:rPr>
        <w:t xml:space="preserve"> para a finalidade em causa</w:t>
      </w:r>
      <w:r w:rsidR="006876A2">
        <w:rPr>
          <w:sz w:val="18"/>
          <w:szCs w:val="18"/>
        </w:rPr>
        <w:t xml:space="preserve"> e a proceder ao apagamento dos mesmos</w:t>
      </w:r>
      <w:r w:rsidRPr="003E0B96">
        <w:rPr>
          <w:sz w:val="18"/>
          <w:szCs w:val="18"/>
        </w:rPr>
        <w:t xml:space="preserve">, salvo se houver necessidade de tratar os dados </w:t>
      </w:r>
      <w:r w:rsidR="006876A2" w:rsidRPr="003A34FA">
        <w:rPr>
          <w:sz w:val="18"/>
          <w:szCs w:val="18"/>
        </w:rPr>
        <w:t xml:space="preserve">pessoais ou de </w:t>
      </w:r>
      <w:proofErr w:type="gramStart"/>
      <w:r w:rsidR="006876A2" w:rsidRPr="003A34FA">
        <w:rPr>
          <w:sz w:val="18"/>
          <w:szCs w:val="18"/>
        </w:rPr>
        <w:t>os conservar</w:t>
      </w:r>
      <w:proofErr w:type="gramEnd"/>
      <w:r w:rsidR="006876A2" w:rsidRPr="003A34FA">
        <w:rPr>
          <w:sz w:val="18"/>
          <w:szCs w:val="18"/>
        </w:rPr>
        <w:t xml:space="preserve"> </w:t>
      </w:r>
      <w:r w:rsidRPr="003A34FA">
        <w:rPr>
          <w:sz w:val="18"/>
          <w:szCs w:val="18"/>
        </w:rPr>
        <w:t>para o cumprimento de obrigações legais e/ou contratuais</w:t>
      </w:r>
      <w:r w:rsidR="006876A2" w:rsidRPr="003A34FA">
        <w:rPr>
          <w:sz w:val="18"/>
          <w:szCs w:val="18"/>
        </w:rPr>
        <w:t xml:space="preserve"> ou se existir outro fundamento de licitude para o tratamento desses dados pessoais</w:t>
      </w:r>
      <w:r w:rsidRPr="003A34FA">
        <w:rPr>
          <w:sz w:val="18"/>
          <w:szCs w:val="18"/>
        </w:rPr>
        <w:t>.</w:t>
      </w:r>
    </w:p>
    <w:p w14:paraId="35819BA0" w14:textId="3FEFD21B" w:rsidR="006876A2" w:rsidRPr="003A34FA" w:rsidRDefault="006876A2" w:rsidP="005452AA">
      <w:pPr>
        <w:pStyle w:val="ListParagraph"/>
        <w:numPr>
          <w:ilvl w:val="1"/>
          <w:numId w:val="1"/>
        </w:numPr>
        <w:ind w:left="284" w:hanging="568"/>
        <w:jc w:val="both"/>
        <w:rPr>
          <w:sz w:val="18"/>
          <w:szCs w:val="18"/>
        </w:rPr>
      </w:pPr>
      <w:r w:rsidRPr="003A34FA">
        <w:rPr>
          <w:sz w:val="18"/>
          <w:szCs w:val="18"/>
        </w:rPr>
        <w:t xml:space="preserve">Quando os dados pessoais do Cliente sejam tratados com fundamento em interesses legítimos, o Cliente tem o direito de se opor ao tratamento, o que pode fazer nos termos do número XX desta cláusula. Neste caso, a </w:t>
      </w:r>
      <w:r w:rsidR="005452AA" w:rsidRPr="003A34FA">
        <w:rPr>
          <w:sz w:val="18"/>
          <w:szCs w:val="18"/>
        </w:rPr>
        <w:t xml:space="preserve">Lisboagás </w:t>
      </w:r>
      <w:r w:rsidRPr="003A34FA">
        <w:rPr>
          <w:sz w:val="18"/>
          <w:szCs w:val="18"/>
        </w:rPr>
        <w:t xml:space="preserve">obriga-se a cessar o tratamento dos dados pessoais, exceto se existirem razões imperiosas e legítimas para a continuidade desse tratamento que prevaleçam sobre os interesses, direitos e liberdades do </w:t>
      </w:r>
      <w:r w:rsidR="005452AA" w:rsidRPr="003A34FA">
        <w:rPr>
          <w:sz w:val="18"/>
          <w:szCs w:val="18"/>
        </w:rPr>
        <w:t>Cliente</w:t>
      </w:r>
      <w:r w:rsidRPr="003A34FA">
        <w:rPr>
          <w:sz w:val="18"/>
          <w:szCs w:val="18"/>
        </w:rPr>
        <w:t xml:space="preserve">, ou se os dados forem necessários para efeitos de declaração, exercício ou defesa de um direito num processo judicial. </w:t>
      </w:r>
    </w:p>
    <w:p w14:paraId="483C2C1B" w14:textId="2148A985" w:rsidR="006876A2" w:rsidRPr="003A34FA" w:rsidRDefault="006876A2" w:rsidP="005452AA">
      <w:pPr>
        <w:pStyle w:val="ListParagraph"/>
        <w:numPr>
          <w:ilvl w:val="1"/>
          <w:numId w:val="1"/>
        </w:numPr>
        <w:ind w:left="284" w:hanging="568"/>
        <w:jc w:val="both"/>
        <w:rPr>
          <w:sz w:val="18"/>
          <w:szCs w:val="18"/>
        </w:rPr>
      </w:pPr>
      <w:r w:rsidRPr="003A34FA">
        <w:rPr>
          <w:sz w:val="18"/>
          <w:szCs w:val="18"/>
        </w:rPr>
        <w:t xml:space="preserve">Se o fundamento de licitude para o tratamento dos dados pessoais do </w:t>
      </w:r>
      <w:r w:rsidR="005452AA" w:rsidRPr="003A34FA">
        <w:rPr>
          <w:sz w:val="18"/>
          <w:szCs w:val="18"/>
        </w:rPr>
        <w:t xml:space="preserve">Cliente </w:t>
      </w:r>
      <w:r w:rsidRPr="003A34FA">
        <w:rPr>
          <w:sz w:val="18"/>
          <w:szCs w:val="18"/>
        </w:rPr>
        <w:t xml:space="preserve">for a sua necessidade para diligências pré-contratuais ou para execução do contrato, caso não sejam facultados os dados pessoais solicitados, tal pode impedir a conclusão do respetivo contrato ou, quando aplicável, inviabilizar o fornecimento dos produtos ou serviços solicitados. </w:t>
      </w:r>
    </w:p>
    <w:p w14:paraId="472ED830" w14:textId="77777777" w:rsidR="000278AF" w:rsidRPr="003A34FA" w:rsidRDefault="00E5779D" w:rsidP="00937CBB">
      <w:pPr>
        <w:pStyle w:val="ListParagraph"/>
        <w:numPr>
          <w:ilvl w:val="1"/>
          <w:numId w:val="1"/>
        </w:numPr>
        <w:ind w:left="284" w:hanging="568"/>
        <w:jc w:val="both"/>
        <w:rPr>
          <w:sz w:val="18"/>
          <w:szCs w:val="18"/>
        </w:rPr>
      </w:pPr>
      <w:r w:rsidRPr="003A34FA">
        <w:rPr>
          <w:iCs/>
          <w:sz w:val="18"/>
          <w:szCs w:val="18"/>
        </w:rPr>
        <w:t>No contexto da(s) finalidade(s) mencionada(s), a L</w:t>
      </w:r>
      <w:r w:rsidR="000278AF" w:rsidRPr="003A34FA">
        <w:rPr>
          <w:iCs/>
          <w:sz w:val="18"/>
          <w:szCs w:val="18"/>
        </w:rPr>
        <w:t>isboagás</w:t>
      </w:r>
      <w:r w:rsidRPr="003A34FA">
        <w:rPr>
          <w:iCs/>
          <w:sz w:val="18"/>
          <w:szCs w:val="18"/>
        </w:rPr>
        <w:t xml:space="preserve"> procede ao tratamento das seguintes categorias de dados pessoais: </w:t>
      </w:r>
      <w:r w:rsidR="000278AF" w:rsidRPr="003A34FA">
        <w:rPr>
          <w:iCs/>
          <w:sz w:val="18"/>
          <w:szCs w:val="18"/>
        </w:rPr>
        <w:t>dados de identificação pessoal, dados de contacto, dados do Contrato, dados de meios de pagamento e transações, dados de inquéritos de satisfação e dados de reclamações</w:t>
      </w:r>
    </w:p>
    <w:p w14:paraId="7757EC66" w14:textId="77777777" w:rsidR="000278AF" w:rsidRPr="003A34FA" w:rsidRDefault="00E5779D" w:rsidP="00937CBB">
      <w:pPr>
        <w:pStyle w:val="ListParagraph"/>
        <w:numPr>
          <w:ilvl w:val="1"/>
          <w:numId w:val="1"/>
        </w:numPr>
        <w:ind w:left="284" w:hanging="568"/>
        <w:jc w:val="both"/>
        <w:rPr>
          <w:sz w:val="18"/>
          <w:szCs w:val="18"/>
        </w:rPr>
      </w:pPr>
      <w:r w:rsidRPr="003A34FA">
        <w:rPr>
          <w:iCs/>
          <w:sz w:val="18"/>
          <w:szCs w:val="18"/>
        </w:rPr>
        <w:t xml:space="preserve">Existindo um interesse legítimo na partilha de dados </w:t>
      </w:r>
      <w:proofErr w:type="spellStart"/>
      <w:r w:rsidRPr="003A34FA">
        <w:rPr>
          <w:iCs/>
          <w:sz w:val="18"/>
          <w:szCs w:val="18"/>
        </w:rPr>
        <w:t>intragrupo</w:t>
      </w:r>
      <w:proofErr w:type="spellEnd"/>
      <w:r w:rsidRPr="003A34FA">
        <w:rPr>
          <w:iCs/>
          <w:sz w:val="18"/>
          <w:szCs w:val="18"/>
        </w:rPr>
        <w:t xml:space="preserve">, os dados pessoais dos </w:t>
      </w:r>
      <w:r w:rsidR="000278AF" w:rsidRPr="003A34FA">
        <w:rPr>
          <w:iCs/>
          <w:sz w:val="18"/>
          <w:szCs w:val="18"/>
        </w:rPr>
        <w:t>Clientes</w:t>
      </w:r>
      <w:r w:rsidRPr="003A34FA">
        <w:rPr>
          <w:iCs/>
          <w:sz w:val="18"/>
          <w:szCs w:val="18"/>
        </w:rPr>
        <w:t xml:space="preserve"> podem ser transmitidos, para fins administrativos internos, a outras empresas do Grupo</w:t>
      </w:r>
      <w:r w:rsidR="000278AF" w:rsidRPr="003A34FA">
        <w:rPr>
          <w:iCs/>
          <w:sz w:val="18"/>
          <w:szCs w:val="18"/>
        </w:rPr>
        <w:t xml:space="preserve"> ao qual a</w:t>
      </w:r>
      <w:r w:rsidRPr="003A34FA">
        <w:rPr>
          <w:iCs/>
          <w:sz w:val="18"/>
          <w:szCs w:val="18"/>
        </w:rPr>
        <w:t xml:space="preserve"> Lisboagás</w:t>
      </w:r>
      <w:r w:rsidR="000278AF" w:rsidRPr="003A34FA">
        <w:rPr>
          <w:iCs/>
          <w:sz w:val="18"/>
          <w:szCs w:val="18"/>
        </w:rPr>
        <w:t xml:space="preserve"> pertence</w:t>
      </w:r>
      <w:r w:rsidRPr="003A34FA">
        <w:rPr>
          <w:iCs/>
          <w:sz w:val="18"/>
          <w:szCs w:val="18"/>
        </w:rPr>
        <w:t xml:space="preserve">. </w:t>
      </w:r>
    </w:p>
    <w:p w14:paraId="4CF7DC68" w14:textId="08C108FA" w:rsidR="000278AF" w:rsidRPr="003E0B96" w:rsidRDefault="00E5779D" w:rsidP="00937CBB">
      <w:pPr>
        <w:pStyle w:val="ListParagraph"/>
        <w:numPr>
          <w:ilvl w:val="1"/>
          <w:numId w:val="1"/>
        </w:numPr>
        <w:ind w:left="284" w:hanging="568"/>
        <w:jc w:val="both"/>
        <w:rPr>
          <w:sz w:val="18"/>
          <w:szCs w:val="18"/>
        </w:rPr>
      </w:pPr>
      <w:r w:rsidRPr="003E0B96">
        <w:rPr>
          <w:iCs/>
          <w:sz w:val="18"/>
          <w:szCs w:val="18"/>
        </w:rPr>
        <w:t>Sempre que a L</w:t>
      </w:r>
      <w:r w:rsidR="000278AF" w:rsidRPr="003E0B96">
        <w:rPr>
          <w:iCs/>
          <w:sz w:val="18"/>
          <w:szCs w:val="18"/>
        </w:rPr>
        <w:t>isboagás</w:t>
      </w:r>
      <w:r w:rsidRPr="003E0B96">
        <w:rPr>
          <w:iCs/>
          <w:sz w:val="18"/>
          <w:szCs w:val="18"/>
        </w:rPr>
        <w:t xml:space="preserve"> recorra aos serviços de um subcontratante, compromete-se a assegurar que este cumpre a legislação aplicável em matéria de proteção de dados pessoais e de privacidade, atual ou futura, nacional ou europeia, bem como o disposto no presente Contrato</w:t>
      </w:r>
      <w:r w:rsidR="005452AA">
        <w:rPr>
          <w:iCs/>
          <w:sz w:val="18"/>
          <w:szCs w:val="18"/>
        </w:rPr>
        <w:t xml:space="preserve">. </w:t>
      </w:r>
      <w:r w:rsidR="005452AA" w:rsidRPr="005452AA">
        <w:rPr>
          <w:iCs/>
          <w:sz w:val="18"/>
          <w:szCs w:val="18"/>
        </w:rPr>
        <w:t xml:space="preserve">Os subcontratantes da </w:t>
      </w:r>
      <w:r w:rsidR="005452AA">
        <w:rPr>
          <w:iCs/>
          <w:sz w:val="18"/>
          <w:szCs w:val="18"/>
        </w:rPr>
        <w:t>Lisboagás</w:t>
      </w:r>
      <w:r w:rsidR="005452AA" w:rsidRPr="005452AA">
        <w:rPr>
          <w:iCs/>
          <w:sz w:val="18"/>
          <w:szCs w:val="18"/>
        </w:rPr>
        <w:t xml:space="preserve"> apenas tratarão os dados pessoais de acordo com as instruções da </w:t>
      </w:r>
      <w:r w:rsidR="005452AA">
        <w:rPr>
          <w:iCs/>
          <w:sz w:val="18"/>
          <w:szCs w:val="18"/>
        </w:rPr>
        <w:t>Lisboagás</w:t>
      </w:r>
      <w:r w:rsidR="005452AA" w:rsidRPr="005452AA">
        <w:rPr>
          <w:iCs/>
          <w:sz w:val="18"/>
          <w:szCs w:val="18"/>
        </w:rPr>
        <w:t>, fazendo-o em nome e por conta desta</w:t>
      </w:r>
      <w:r w:rsidRPr="003E0B96">
        <w:rPr>
          <w:iCs/>
          <w:sz w:val="18"/>
          <w:szCs w:val="18"/>
        </w:rPr>
        <w:t>.</w:t>
      </w:r>
    </w:p>
    <w:p w14:paraId="1CA5105B" w14:textId="55901483" w:rsidR="000278AF" w:rsidRPr="003E0B96" w:rsidRDefault="00E5779D" w:rsidP="00937CBB">
      <w:pPr>
        <w:pStyle w:val="ListParagraph"/>
        <w:numPr>
          <w:ilvl w:val="1"/>
          <w:numId w:val="1"/>
        </w:numPr>
        <w:ind w:left="284" w:hanging="568"/>
        <w:jc w:val="both"/>
        <w:rPr>
          <w:sz w:val="18"/>
          <w:szCs w:val="18"/>
        </w:rPr>
      </w:pPr>
      <w:r w:rsidRPr="003E0B96">
        <w:rPr>
          <w:iCs/>
          <w:sz w:val="18"/>
          <w:szCs w:val="18"/>
        </w:rPr>
        <w:t xml:space="preserve">Em cumprimento de obrigações legais e/ou contratuais, os dados pessoais dos </w:t>
      </w:r>
      <w:r w:rsidR="000278AF" w:rsidRPr="003E0B96">
        <w:rPr>
          <w:iCs/>
          <w:sz w:val="18"/>
          <w:szCs w:val="18"/>
        </w:rPr>
        <w:t xml:space="preserve">Clientes </w:t>
      </w:r>
      <w:r w:rsidRPr="003E0B96">
        <w:rPr>
          <w:iCs/>
          <w:sz w:val="18"/>
          <w:szCs w:val="18"/>
        </w:rPr>
        <w:t xml:space="preserve">podem também ser transmitidos a terceiros, para prossecução de finalidades próprias, </w:t>
      </w:r>
      <w:r w:rsidR="005452AA" w:rsidRPr="005452AA">
        <w:rPr>
          <w:bCs/>
          <w:iCs/>
          <w:color w:val="434A4F"/>
          <w:sz w:val="18"/>
          <w:szCs w:val="18"/>
        </w:rPr>
        <w:t xml:space="preserve">atuando estas entidades como responsáveis autónomos pelo tratamento dos dados pessoais, </w:t>
      </w:r>
      <w:r w:rsidRPr="003E0B96">
        <w:rPr>
          <w:iCs/>
          <w:sz w:val="18"/>
          <w:szCs w:val="18"/>
        </w:rPr>
        <w:t>designadamente a operadores de rede, bancos e seguradoras, entidades com quem a L</w:t>
      </w:r>
      <w:r w:rsidR="000278AF" w:rsidRPr="003E0B96">
        <w:rPr>
          <w:iCs/>
          <w:sz w:val="18"/>
          <w:szCs w:val="18"/>
        </w:rPr>
        <w:t xml:space="preserve">isboagás </w:t>
      </w:r>
      <w:r w:rsidRPr="003E0B96">
        <w:rPr>
          <w:iCs/>
          <w:sz w:val="18"/>
          <w:szCs w:val="18"/>
        </w:rPr>
        <w:t>estabeleça parcerias, autoridades judiciais, administrativas, de supervisão ou regulatórias e ainda entidades que realizem, licitamente, ações de compilação de dados, ações de prevenção e combate à fraude, estudos de mercado ou estatísticos.</w:t>
      </w:r>
    </w:p>
    <w:p w14:paraId="3F099426" w14:textId="70821750" w:rsidR="000278AF" w:rsidRPr="003E0B96" w:rsidRDefault="00E5779D" w:rsidP="00937CBB">
      <w:pPr>
        <w:pStyle w:val="ListParagraph"/>
        <w:numPr>
          <w:ilvl w:val="1"/>
          <w:numId w:val="1"/>
        </w:numPr>
        <w:ind w:left="284" w:hanging="568"/>
        <w:jc w:val="both"/>
        <w:rPr>
          <w:sz w:val="18"/>
          <w:szCs w:val="18"/>
        </w:rPr>
      </w:pPr>
      <w:r w:rsidRPr="003E0B96">
        <w:rPr>
          <w:iCs/>
          <w:sz w:val="18"/>
          <w:szCs w:val="18"/>
        </w:rPr>
        <w:t>Os</w:t>
      </w:r>
      <w:r w:rsidR="000278AF" w:rsidRPr="003E0B96">
        <w:rPr>
          <w:iCs/>
          <w:sz w:val="18"/>
          <w:szCs w:val="18"/>
        </w:rPr>
        <w:t xml:space="preserve"> Clientes</w:t>
      </w:r>
      <w:r w:rsidRPr="003E0B96">
        <w:rPr>
          <w:iCs/>
          <w:sz w:val="18"/>
          <w:szCs w:val="18"/>
        </w:rPr>
        <w:t xml:space="preserve"> têm o direito de, sempre que aplicável</w:t>
      </w:r>
      <w:r w:rsidR="005452AA">
        <w:rPr>
          <w:iCs/>
          <w:sz w:val="18"/>
          <w:szCs w:val="18"/>
        </w:rPr>
        <w:t xml:space="preserve">, </w:t>
      </w:r>
      <w:r w:rsidRPr="003E0B96">
        <w:rPr>
          <w:iCs/>
          <w:sz w:val="18"/>
          <w:szCs w:val="18"/>
        </w:rPr>
        <w:t>i) solicitar o acesso, retificação, limitação, oposição, portabilidade e apagamento dos seus dados pessoais, (</w:t>
      </w:r>
      <w:proofErr w:type="spellStart"/>
      <w:r w:rsidRPr="003E0B96">
        <w:rPr>
          <w:iCs/>
          <w:sz w:val="18"/>
          <w:szCs w:val="18"/>
        </w:rPr>
        <w:t>ii</w:t>
      </w:r>
      <w:proofErr w:type="spellEnd"/>
      <w:r w:rsidRPr="003E0B96">
        <w:rPr>
          <w:iCs/>
          <w:sz w:val="18"/>
          <w:szCs w:val="18"/>
        </w:rPr>
        <w:t>) apresentar queixa junto da autoridade de controlo competente, a Comissão Nacional de Proteção de Dados (“CNPD”), ou (</w:t>
      </w:r>
      <w:proofErr w:type="spellStart"/>
      <w:r w:rsidRPr="003E0B96">
        <w:rPr>
          <w:iCs/>
          <w:sz w:val="18"/>
          <w:szCs w:val="18"/>
        </w:rPr>
        <w:t>iii</w:t>
      </w:r>
      <w:proofErr w:type="spellEnd"/>
      <w:r w:rsidRPr="003E0B96">
        <w:rPr>
          <w:iCs/>
          <w:sz w:val="18"/>
          <w:szCs w:val="18"/>
        </w:rPr>
        <w:t>) obter reparação e/ou indemnização se considerarem que o tratamento realizado viola os seus direitos e/ou a legislação em matéria de proteção de dados pessoais e de privacidade aplicáveis.</w:t>
      </w:r>
    </w:p>
    <w:p w14:paraId="7F360D7D" w14:textId="7BB88BAF" w:rsidR="00E5779D" w:rsidRPr="003E0B96" w:rsidRDefault="00E5779D" w:rsidP="00937CBB">
      <w:pPr>
        <w:pStyle w:val="ListParagraph"/>
        <w:numPr>
          <w:ilvl w:val="1"/>
          <w:numId w:val="1"/>
        </w:numPr>
        <w:ind w:left="284" w:hanging="568"/>
        <w:jc w:val="both"/>
        <w:rPr>
          <w:sz w:val="18"/>
          <w:szCs w:val="18"/>
        </w:rPr>
      </w:pPr>
      <w:r w:rsidRPr="003E0B96">
        <w:rPr>
          <w:iCs/>
          <w:sz w:val="18"/>
          <w:szCs w:val="18"/>
        </w:rPr>
        <w:t xml:space="preserve">Os </w:t>
      </w:r>
      <w:r w:rsidR="000278AF" w:rsidRPr="003E0B96">
        <w:rPr>
          <w:iCs/>
          <w:sz w:val="18"/>
          <w:szCs w:val="18"/>
        </w:rPr>
        <w:t>Clientes</w:t>
      </w:r>
      <w:r w:rsidRPr="003E0B96">
        <w:rPr>
          <w:iCs/>
          <w:sz w:val="18"/>
          <w:szCs w:val="18"/>
        </w:rPr>
        <w:t xml:space="preserve"> pode</w:t>
      </w:r>
      <w:r w:rsidR="005452AA">
        <w:rPr>
          <w:iCs/>
          <w:sz w:val="18"/>
          <w:szCs w:val="18"/>
        </w:rPr>
        <w:t>m</w:t>
      </w:r>
      <w:r w:rsidRPr="003E0B96">
        <w:rPr>
          <w:iCs/>
          <w:sz w:val="18"/>
          <w:szCs w:val="18"/>
        </w:rPr>
        <w:t xml:space="preserve"> exercer os direitos consagrados na legislação aplicável em matéria de dados pessoais e de privacidade envia</w:t>
      </w:r>
      <w:r w:rsidR="005452AA">
        <w:rPr>
          <w:iCs/>
          <w:sz w:val="18"/>
          <w:szCs w:val="18"/>
        </w:rPr>
        <w:t xml:space="preserve">ndo </w:t>
      </w:r>
      <w:r w:rsidRPr="003E0B96">
        <w:rPr>
          <w:iCs/>
          <w:sz w:val="18"/>
          <w:szCs w:val="18"/>
        </w:rPr>
        <w:t>e-mail para</w:t>
      </w:r>
      <w:r w:rsidR="005452AA">
        <w:rPr>
          <w:iCs/>
          <w:sz w:val="18"/>
          <w:szCs w:val="18"/>
        </w:rPr>
        <w:t xml:space="preserve"> data.privacy@floene.pt</w:t>
      </w:r>
      <w:r w:rsidRPr="003E0B96">
        <w:rPr>
          <w:iCs/>
          <w:sz w:val="18"/>
          <w:szCs w:val="18"/>
        </w:rPr>
        <w:t>. Podem ainda contactar o encarregado de proteção de dados d</w:t>
      </w:r>
      <w:r w:rsidR="00C70A67" w:rsidRPr="003E0B96">
        <w:rPr>
          <w:iCs/>
          <w:sz w:val="18"/>
          <w:szCs w:val="18"/>
        </w:rPr>
        <w:t>a</w:t>
      </w:r>
      <w:r w:rsidRPr="003E0B96">
        <w:rPr>
          <w:iCs/>
          <w:sz w:val="18"/>
          <w:szCs w:val="18"/>
        </w:rPr>
        <w:t xml:space="preserve"> Lisboagás para quaisquer questões relacionadas com a proteção e privacidade dos seus dados pessoais através do e-mail</w:t>
      </w:r>
      <w:r w:rsidR="005452AA">
        <w:rPr>
          <w:iCs/>
          <w:sz w:val="18"/>
          <w:szCs w:val="18"/>
        </w:rPr>
        <w:t xml:space="preserve"> dpo@floene.pt</w:t>
      </w:r>
      <w:r w:rsidRPr="003E0B96">
        <w:rPr>
          <w:iCs/>
          <w:sz w:val="18"/>
          <w:szCs w:val="18"/>
        </w:rPr>
        <w:t>.</w:t>
      </w:r>
    </w:p>
    <w:p w14:paraId="61046E47" w14:textId="77777777" w:rsidR="00C70A67" w:rsidRPr="003E0B96" w:rsidRDefault="00C70A67" w:rsidP="00937CBB">
      <w:pPr>
        <w:pStyle w:val="ListParagraph"/>
        <w:ind w:left="284"/>
        <w:jc w:val="both"/>
        <w:rPr>
          <w:sz w:val="18"/>
          <w:szCs w:val="18"/>
        </w:rPr>
      </w:pPr>
    </w:p>
    <w:p w14:paraId="37E0EB05" w14:textId="09CDF3D3" w:rsidR="00C70A67" w:rsidRPr="003E0B96" w:rsidRDefault="00C70A67" w:rsidP="00937CBB">
      <w:pPr>
        <w:pStyle w:val="ListParagraph"/>
        <w:numPr>
          <w:ilvl w:val="0"/>
          <w:numId w:val="1"/>
        </w:numPr>
        <w:ind w:left="0" w:hanging="284"/>
        <w:jc w:val="both"/>
        <w:rPr>
          <w:sz w:val="18"/>
          <w:szCs w:val="18"/>
        </w:rPr>
      </w:pPr>
      <w:r w:rsidRPr="003E0B96">
        <w:rPr>
          <w:b/>
          <w:bCs/>
          <w:sz w:val="18"/>
          <w:szCs w:val="18"/>
        </w:rPr>
        <w:t>Comunicações</w:t>
      </w:r>
    </w:p>
    <w:p w14:paraId="3D0F9DD9" w14:textId="474D2406" w:rsidR="00C70A67" w:rsidRPr="003A34FA" w:rsidRDefault="00C70A67" w:rsidP="00937CBB">
      <w:pPr>
        <w:pStyle w:val="ListParagraph"/>
        <w:numPr>
          <w:ilvl w:val="1"/>
          <w:numId w:val="1"/>
        </w:numPr>
        <w:ind w:left="284" w:hanging="568"/>
        <w:jc w:val="both"/>
        <w:rPr>
          <w:iCs/>
          <w:sz w:val="18"/>
          <w:szCs w:val="18"/>
        </w:rPr>
      </w:pPr>
      <w:r w:rsidRPr="003E0B96">
        <w:rPr>
          <w:iCs/>
          <w:sz w:val="18"/>
          <w:szCs w:val="18"/>
        </w:rPr>
        <w:t xml:space="preserve">Todas as notificações e comunicações a realizar pela Lisboagás ao Cliente podem ser feitas para qualquer um dos contactos do Cliente indicados no Formulário, aceitando o Cliente que a Lisboagás o notifique, para </w:t>
      </w:r>
      <w:r w:rsidRPr="003A34FA">
        <w:rPr>
          <w:iCs/>
          <w:sz w:val="18"/>
          <w:szCs w:val="18"/>
        </w:rPr>
        <w:t>todos os efeitos previstos no presente Contrato, através de correio normal, correio eletrónico.</w:t>
      </w:r>
    </w:p>
    <w:p w14:paraId="0537804B" w14:textId="34868EF1" w:rsidR="00C70A67" w:rsidRPr="003A34FA" w:rsidRDefault="00C70A67" w:rsidP="00937CBB">
      <w:pPr>
        <w:pStyle w:val="ListParagraph"/>
        <w:numPr>
          <w:ilvl w:val="1"/>
          <w:numId w:val="1"/>
        </w:numPr>
        <w:ind w:left="284" w:hanging="568"/>
        <w:jc w:val="both"/>
        <w:rPr>
          <w:iCs/>
          <w:sz w:val="18"/>
          <w:szCs w:val="18"/>
        </w:rPr>
      </w:pPr>
      <w:r w:rsidRPr="003A34FA">
        <w:rPr>
          <w:iCs/>
          <w:sz w:val="18"/>
          <w:szCs w:val="18"/>
        </w:rPr>
        <w:t xml:space="preserve">Caso o Cliente pretenda contactar a </w:t>
      </w:r>
      <w:r w:rsidR="003A34FA" w:rsidRPr="003A34FA">
        <w:rPr>
          <w:iCs/>
          <w:sz w:val="18"/>
          <w:szCs w:val="18"/>
        </w:rPr>
        <w:t>Lisboagás</w:t>
      </w:r>
      <w:r w:rsidRPr="003A34FA">
        <w:rPr>
          <w:iCs/>
          <w:sz w:val="18"/>
          <w:szCs w:val="18"/>
        </w:rPr>
        <w:t xml:space="preserve"> poderá fazê-lo para os seguintes contactos:</w:t>
      </w:r>
    </w:p>
    <w:p w14:paraId="16A37B9A" w14:textId="2E6D2DF6" w:rsidR="00C70A67" w:rsidRPr="003E0B96" w:rsidRDefault="00C70A67" w:rsidP="00937CBB">
      <w:pPr>
        <w:pStyle w:val="ListParagraph"/>
        <w:ind w:left="284"/>
        <w:jc w:val="both"/>
        <w:rPr>
          <w:iCs/>
          <w:sz w:val="18"/>
          <w:szCs w:val="18"/>
        </w:rPr>
      </w:pPr>
      <w:r w:rsidRPr="003A34FA">
        <w:rPr>
          <w:iCs/>
          <w:sz w:val="18"/>
          <w:szCs w:val="18"/>
        </w:rPr>
        <w:t>[Inserir contacto telefónico] / [</w:t>
      </w:r>
      <w:r w:rsidR="0075683A" w:rsidRPr="003A34FA">
        <w:rPr>
          <w:iCs/>
          <w:sz w:val="18"/>
          <w:szCs w:val="18"/>
        </w:rPr>
        <w:t>ca</w:t>
      </w:r>
      <w:r w:rsidR="00BC490D" w:rsidRPr="003A34FA">
        <w:rPr>
          <w:iCs/>
          <w:sz w:val="18"/>
          <w:szCs w:val="18"/>
        </w:rPr>
        <w:t>l</w:t>
      </w:r>
      <w:r w:rsidR="0075683A" w:rsidRPr="003A34FA">
        <w:rPr>
          <w:iCs/>
          <w:sz w:val="18"/>
          <w:szCs w:val="18"/>
        </w:rPr>
        <w:t>deiraseficientes@lisboagas.pt</w:t>
      </w:r>
      <w:r w:rsidRPr="003A34FA">
        <w:rPr>
          <w:iCs/>
          <w:sz w:val="18"/>
          <w:szCs w:val="18"/>
        </w:rPr>
        <w:t>]</w:t>
      </w:r>
    </w:p>
    <w:p w14:paraId="7B7022F4" w14:textId="77777777" w:rsidR="00C70A67" w:rsidRPr="003E0B96" w:rsidRDefault="00C70A67" w:rsidP="00937CBB">
      <w:pPr>
        <w:pStyle w:val="ListParagraph"/>
        <w:ind w:left="284"/>
        <w:jc w:val="both"/>
        <w:rPr>
          <w:iCs/>
          <w:sz w:val="18"/>
          <w:szCs w:val="18"/>
        </w:rPr>
      </w:pPr>
    </w:p>
    <w:p w14:paraId="54B4FDEA" w14:textId="70AEEAFF" w:rsidR="00C70A67" w:rsidRPr="003E0B96" w:rsidRDefault="00C70A67" w:rsidP="00937CBB">
      <w:pPr>
        <w:pStyle w:val="ListParagraph"/>
        <w:numPr>
          <w:ilvl w:val="0"/>
          <w:numId w:val="1"/>
        </w:numPr>
        <w:ind w:left="0" w:hanging="284"/>
        <w:jc w:val="both"/>
        <w:rPr>
          <w:b/>
          <w:bCs/>
          <w:sz w:val="18"/>
          <w:szCs w:val="18"/>
        </w:rPr>
      </w:pPr>
      <w:r w:rsidRPr="003E0B96">
        <w:rPr>
          <w:b/>
          <w:bCs/>
          <w:sz w:val="18"/>
          <w:szCs w:val="18"/>
        </w:rPr>
        <w:t xml:space="preserve">Direito </w:t>
      </w:r>
      <w:r w:rsidR="005B7F09" w:rsidRPr="003E0B96">
        <w:rPr>
          <w:b/>
          <w:bCs/>
          <w:sz w:val="18"/>
          <w:szCs w:val="18"/>
        </w:rPr>
        <w:t>de Livre Resoluçã</w:t>
      </w:r>
      <w:r w:rsidRPr="003E0B96">
        <w:rPr>
          <w:b/>
          <w:bCs/>
          <w:sz w:val="18"/>
          <w:szCs w:val="18"/>
        </w:rPr>
        <w:t>o</w:t>
      </w:r>
    </w:p>
    <w:p w14:paraId="6A120DDF" w14:textId="696CF0BF" w:rsidR="00C70A67" w:rsidRPr="003E0B96" w:rsidRDefault="00C70A67" w:rsidP="00937CBB">
      <w:pPr>
        <w:pStyle w:val="ListParagraph"/>
        <w:numPr>
          <w:ilvl w:val="1"/>
          <w:numId w:val="1"/>
        </w:numPr>
        <w:ind w:left="284" w:hanging="568"/>
        <w:jc w:val="both"/>
        <w:rPr>
          <w:iCs/>
          <w:sz w:val="18"/>
          <w:szCs w:val="18"/>
        </w:rPr>
      </w:pPr>
      <w:r w:rsidRPr="003E0B96">
        <w:rPr>
          <w:iCs/>
          <w:sz w:val="18"/>
          <w:szCs w:val="18"/>
        </w:rPr>
        <w:t>O Cliente tem o direito de, livremente</w:t>
      </w:r>
      <w:r w:rsidR="00BD7688" w:rsidRPr="003E0B96">
        <w:rPr>
          <w:iCs/>
          <w:sz w:val="18"/>
          <w:szCs w:val="18"/>
        </w:rPr>
        <w:t xml:space="preserve">, </w:t>
      </w:r>
      <w:r w:rsidRPr="003E0B96">
        <w:rPr>
          <w:iCs/>
          <w:sz w:val="18"/>
          <w:szCs w:val="18"/>
        </w:rPr>
        <w:t xml:space="preserve">sem necessidade de indicar o motivo e sem necessidade de pagamento de qualquer valor ou indemnização, resolver o contrato no prazo de </w:t>
      </w:r>
      <w:r w:rsidR="00D07607" w:rsidRPr="003E0B96">
        <w:rPr>
          <w:iCs/>
          <w:sz w:val="18"/>
          <w:szCs w:val="18"/>
        </w:rPr>
        <w:t>30</w:t>
      </w:r>
      <w:r w:rsidRPr="003E0B96">
        <w:rPr>
          <w:iCs/>
          <w:sz w:val="18"/>
          <w:szCs w:val="18"/>
        </w:rPr>
        <w:t xml:space="preserve"> (</w:t>
      </w:r>
      <w:r w:rsidR="00D07607" w:rsidRPr="003E0B96">
        <w:rPr>
          <w:iCs/>
          <w:sz w:val="18"/>
          <w:szCs w:val="18"/>
        </w:rPr>
        <w:t>trinta</w:t>
      </w:r>
      <w:r w:rsidRPr="003E0B96">
        <w:rPr>
          <w:iCs/>
          <w:sz w:val="18"/>
          <w:szCs w:val="18"/>
        </w:rPr>
        <w:t>) dias a contar da data de entrega do Equipamento.</w:t>
      </w:r>
    </w:p>
    <w:p w14:paraId="17E7BA03" w14:textId="0E75CB6E" w:rsidR="00C70A67" w:rsidRPr="003E0B96" w:rsidRDefault="00A64190" w:rsidP="00937CBB">
      <w:pPr>
        <w:pStyle w:val="ListParagraph"/>
        <w:numPr>
          <w:ilvl w:val="1"/>
          <w:numId w:val="1"/>
        </w:numPr>
        <w:ind w:left="284" w:hanging="568"/>
        <w:jc w:val="both"/>
        <w:rPr>
          <w:iCs/>
          <w:sz w:val="18"/>
          <w:szCs w:val="18"/>
        </w:rPr>
      </w:pPr>
      <w:r w:rsidRPr="003E0B96">
        <w:rPr>
          <w:iCs/>
          <w:sz w:val="18"/>
          <w:szCs w:val="18"/>
        </w:rPr>
        <w:t xml:space="preserve">Caso o Cliente pretenda exercer o seu direito de livre resolução, deverá </w:t>
      </w:r>
      <w:r w:rsidR="00D07607" w:rsidRPr="003E0B96">
        <w:rPr>
          <w:iCs/>
          <w:sz w:val="18"/>
          <w:szCs w:val="18"/>
        </w:rPr>
        <w:t xml:space="preserve">comunicá-lo à Lisboagás através do envio do modelo de livre resolução constante </w:t>
      </w:r>
      <w:r w:rsidR="00CF59A0" w:rsidRPr="00CF59A0">
        <w:rPr>
          <w:iCs/>
          <w:sz w:val="18"/>
          <w:szCs w:val="18"/>
        </w:rPr>
        <w:t>no</w:t>
      </w:r>
      <w:r w:rsidR="00AB076B" w:rsidRPr="00CF59A0">
        <w:rPr>
          <w:iCs/>
          <w:sz w:val="18"/>
          <w:szCs w:val="18"/>
        </w:rPr>
        <w:t xml:space="preserve"> anexo</w:t>
      </w:r>
      <w:r w:rsidR="00D07607" w:rsidRPr="003E0B96">
        <w:rPr>
          <w:iCs/>
          <w:sz w:val="18"/>
          <w:szCs w:val="18"/>
        </w:rPr>
        <w:t xml:space="preserve"> </w:t>
      </w:r>
      <w:r w:rsidR="00CF59A0">
        <w:rPr>
          <w:iCs/>
          <w:sz w:val="18"/>
          <w:szCs w:val="18"/>
        </w:rPr>
        <w:t xml:space="preserve">II </w:t>
      </w:r>
      <w:r w:rsidR="00D07607" w:rsidRPr="003E0B96">
        <w:rPr>
          <w:iCs/>
          <w:sz w:val="18"/>
          <w:szCs w:val="18"/>
        </w:rPr>
        <w:t>ao Contrato, ou através de qualquer outra declaração inequívoca que seja enviada</w:t>
      </w:r>
      <w:r w:rsidRPr="003E0B96">
        <w:rPr>
          <w:iCs/>
          <w:sz w:val="18"/>
          <w:szCs w:val="18"/>
        </w:rPr>
        <w:t xml:space="preserve"> para o endereço eletrónico constante da cláusula anterior</w:t>
      </w:r>
      <w:r w:rsidR="00BD7688" w:rsidRPr="003E0B96">
        <w:rPr>
          <w:iCs/>
          <w:sz w:val="18"/>
          <w:szCs w:val="18"/>
        </w:rPr>
        <w:t xml:space="preserve"> com esse propósito</w:t>
      </w:r>
      <w:r w:rsidRPr="003E0B96">
        <w:rPr>
          <w:iCs/>
          <w:sz w:val="18"/>
          <w:szCs w:val="18"/>
        </w:rPr>
        <w:t>.</w:t>
      </w:r>
    </w:p>
    <w:p w14:paraId="7C9826C2" w14:textId="2EF4A7CE" w:rsidR="00A64190" w:rsidRPr="003E0B96" w:rsidRDefault="00A64190" w:rsidP="00937CBB">
      <w:pPr>
        <w:pStyle w:val="ListParagraph"/>
        <w:numPr>
          <w:ilvl w:val="1"/>
          <w:numId w:val="1"/>
        </w:numPr>
        <w:ind w:left="284" w:hanging="568"/>
        <w:jc w:val="both"/>
        <w:rPr>
          <w:iCs/>
          <w:sz w:val="18"/>
          <w:szCs w:val="18"/>
        </w:rPr>
      </w:pPr>
      <w:r w:rsidRPr="003E0B96">
        <w:rPr>
          <w:iCs/>
          <w:sz w:val="18"/>
          <w:szCs w:val="18"/>
        </w:rPr>
        <w:t>Após a comunicação da vontade de exercer o seu direito de livre resolução e da restituição do Equipamento à Lisboagás nos prazos acima indicados, a Lisboagás restituirá o Preço pago pela compra do Equipamento.</w:t>
      </w:r>
    </w:p>
    <w:p w14:paraId="7AD666D2" w14:textId="15744B45" w:rsidR="005837F6" w:rsidRPr="003E0B96" w:rsidRDefault="005837F6" w:rsidP="00937CBB">
      <w:pPr>
        <w:pStyle w:val="ListParagraph"/>
        <w:numPr>
          <w:ilvl w:val="1"/>
          <w:numId w:val="1"/>
        </w:numPr>
        <w:ind w:left="284" w:hanging="568"/>
        <w:jc w:val="both"/>
        <w:rPr>
          <w:iCs/>
          <w:sz w:val="18"/>
          <w:szCs w:val="18"/>
        </w:rPr>
      </w:pPr>
      <w:r w:rsidRPr="003E0B96">
        <w:rPr>
          <w:iCs/>
          <w:sz w:val="18"/>
          <w:szCs w:val="18"/>
        </w:rPr>
        <w:t xml:space="preserve">Para todos os efeitos, a partir do momento que o Equipamento seja instalado e/ou adulterado de qualquer modo, a possibilidade de o Cliente resolver livremente o Contrato nos termos da presente Cláusula fica </w:t>
      </w:r>
      <w:proofErr w:type="spellStart"/>
      <w:r w:rsidRPr="003E0B96">
        <w:rPr>
          <w:iCs/>
          <w:sz w:val="18"/>
          <w:szCs w:val="18"/>
        </w:rPr>
        <w:t>p</w:t>
      </w:r>
      <w:r w:rsidR="007E682A" w:rsidRPr="003E0B96">
        <w:rPr>
          <w:iCs/>
          <w:sz w:val="18"/>
          <w:szCs w:val="18"/>
        </w:rPr>
        <w:t>re</w:t>
      </w:r>
      <w:r w:rsidRPr="003E0B96">
        <w:rPr>
          <w:iCs/>
          <w:sz w:val="18"/>
          <w:szCs w:val="18"/>
        </w:rPr>
        <w:t>cludida</w:t>
      </w:r>
      <w:proofErr w:type="spellEnd"/>
      <w:r w:rsidRPr="003E0B96">
        <w:rPr>
          <w:iCs/>
          <w:sz w:val="18"/>
          <w:szCs w:val="18"/>
        </w:rPr>
        <w:t xml:space="preserve">. </w:t>
      </w:r>
    </w:p>
    <w:p w14:paraId="7DE130F2" w14:textId="2E73143E" w:rsidR="00C912C4" w:rsidRPr="003E0B96" w:rsidRDefault="00C912C4" w:rsidP="00937CBB">
      <w:pPr>
        <w:pStyle w:val="ListParagraph"/>
        <w:numPr>
          <w:ilvl w:val="1"/>
          <w:numId w:val="1"/>
        </w:numPr>
        <w:ind w:left="284" w:hanging="568"/>
        <w:jc w:val="both"/>
        <w:rPr>
          <w:iCs/>
          <w:sz w:val="18"/>
          <w:szCs w:val="18"/>
        </w:rPr>
      </w:pPr>
      <w:r w:rsidRPr="003E0B96">
        <w:rPr>
          <w:iCs/>
          <w:sz w:val="18"/>
          <w:szCs w:val="18"/>
        </w:rPr>
        <w:t>O Cliente é, à data da cele</w:t>
      </w:r>
      <w:r w:rsidR="007E682A" w:rsidRPr="003E0B96">
        <w:rPr>
          <w:iCs/>
          <w:sz w:val="18"/>
          <w:szCs w:val="18"/>
        </w:rPr>
        <w:t>b</w:t>
      </w:r>
      <w:r w:rsidRPr="003E0B96">
        <w:rPr>
          <w:iCs/>
          <w:sz w:val="18"/>
          <w:szCs w:val="18"/>
        </w:rPr>
        <w:t xml:space="preserve">ração do Contrato, informado sobre o </w:t>
      </w:r>
      <w:r w:rsidR="00E154A8" w:rsidRPr="003E0B96">
        <w:rPr>
          <w:iCs/>
          <w:sz w:val="18"/>
          <w:szCs w:val="18"/>
        </w:rPr>
        <w:t>d</w:t>
      </w:r>
      <w:r w:rsidRPr="003E0B96">
        <w:rPr>
          <w:iCs/>
          <w:sz w:val="18"/>
          <w:szCs w:val="18"/>
        </w:rPr>
        <w:t xml:space="preserve">ireito </w:t>
      </w:r>
      <w:r w:rsidR="00E154A8" w:rsidRPr="003E0B96">
        <w:rPr>
          <w:iCs/>
          <w:sz w:val="18"/>
          <w:szCs w:val="18"/>
        </w:rPr>
        <w:t>previsto na presente cláusula.</w:t>
      </w:r>
    </w:p>
    <w:p w14:paraId="50A8EAED" w14:textId="77777777" w:rsidR="00F2440A" w:rsidRPr="003E0B96" w:rsidRDefault="00F2440A" w:rsidP="00F2440A">
      <w:pPr>
        <w:pStyle w:val="ListParagraph"/>
        <w:ind w:left="284"/>
        <w:jc w:val="both"/>
        <w:rPr>
          <w:iCs/>
          <w:sz w:val="18"/>
          <w:szCs w:val="18"/>
        </w:rPr>
      </w:pPr>
    </w:p>
    <w:p w14:paraId="1ECE4329" w14:textId="52001A6A" w:rsidR="00F2440A" w:rsidRPr="003E0B96" w:rsidRDefault="00F2440A" w:rsidP="00F2440A">
      <w:pPr>
        <w:pStyle w:val="ListParagraph"/>
        <w:numPr>
          <w:ilvl w:val="0"/>
          <w:numId w:val="1"/>
        </w:numPr>
        <w:ind w:left="0" w:hanging="284"/>
        <w:jc w:val="both"/>
        <w:rPr>
          <w:b/>
          <w:bCs/>
          <w:sz w:val="18"/>
          <w:szCs w:val="18"/>
        </w:rPr>
      </w:pPr>
      <w:r w:rsidRPr="003E0B96">
        <w:rPr>
          <w:b/>
          <w:bCs/>
          <w:sz w:val="18"/>
          <w:szCs w:val="18"/>
        </w:rPr>
        <w:t>Cessação do Contrato</w:t>
      </w:r>
    </w:p>
    <w:p w14:paraId="22D338E9" w14:textId="1F36A666" w:rsidR="00C46ED4" w:rsidRPr="003E0B96" w:rsidRDefault="00DE6395" w:rsidP="00D906C1">
      <w:pPr>
        <w:pStyle w:val="ListParagraph"/>
        <w:numPr>
          <w:ilvl w:val="1"/>
          <w:numId w:val="1"/>
        </w:numPr>
        <w:ind w:left="284" w:hanging="568"/>
        <w:jc w:val="both"/>
        <w:rPr>
          <w:iCs/>
          <w:sz w:val="18"/>
          <w:szCs w:val="18"/>
        </w:rPr>
      </w:pPr>
      <w:r w:rsidRPr="003E0B96">
        <w:rPr>
          <w:iCs/>
          <w:sz w:val="18"/>
          <w:szCs w:val="18"/>
        </w:rPr>
        <w:t>A Lisboagás reserva-se no dir</w:t>
      </w:r>
      <w:r w:rsidR="00EA7B2B" w:rsidRPr="003E0B96">
        <w:rPr>
          <w:iCs/>
          <w:sz w:val="18"/>
          <w:szCs w:val="18"/>
        </w:rPr>
        <w:t xml:space="preserve">eito de, até ao início da execução da instalação, </w:t>
      </w:r>
      <w:r w:rsidR="00E242F6" w:rsidRPr="003E0B96">
        <w:rPr>
          <w:iCs/>
          <w:sz w:val="18"/>
          <w:szCs w:val="18"/>
        </w:rPr>
        <w:t>resolver unilateralmente o Contrato, devendo, para o efeito, comunicar por escrito a sua decisão ao Cliente</w:t>
      </w:r>
      <w:r w:rsidR="00C32149" w:rsidRPr="003E0B96">
        <w:rPr>
          <w:iCs/>
          <w:sz w:val="18"/>
          <w:szCs w:val="18"/>
        </w:rPr>
        <w:t xml:space="preserve">. </w:t>
      </w:r>
    </w:p>
    <w:p w14:paraId="1BC118DD" w14:textId="23F685D1" w:rsidR="00B44937" w:rsidRPr="003E0B96" w:rsidRDefault="009D17F6" w:rsidP="00D906C1">
      <w:pPr>
        <w:pStyle w:val="ListParagraph"/>
        <w:numPr>
          <w:ilvl w:val="1"/>
          <w:numId w:val="1"/>
        </w:numPr>
        <w:ind w:left="284" w:hanging="568"/>
        <w:jc w:val="both"/>
        <w:rPr>
          <w:iCs/>
          <w:sz w:val="18"/>
          <w:szCs w:val="18"/>
        </w:rPr>
      </w:pPr>
      <w:r w:rsidRPr="003E0B96">
        <w:rPr>
          <w:iCs/>
          <w:sz w:val="18"/>
          <w:szCs w:val="18"/>
        </w:rPr>
        <w:t xml:space="preserve">A Lisboagás reserva-se no direito de resolver o presente Contrato </w:t>
      </w:r>
      <w:r w:rsidR="00F16C5B" w:rsidRPr="003E0B96">
        <w:rPr>
          <w:iCs/>
          <w:sz w:val="18"/>
          <w:szCs w:val="18"/>
        </w:rPr>
        <w:t xml:space="preserve">nas situações em que o Cliente não cumpra com o previsto na Cláusula </w:t>
      </w:r>
      <w:r w:rsidR="006A6494" w:rsidRPr="003E0B96">
        <w:rPr>
          <w:iCs/>
          <w:sz w:val="18"/>
          <w:szCs w:val="18"/>
        </w:rPr>
        <w:t>4</w:t>
      </w:r>
      <w:r w:rsidR="00F16C5B" w:rsidRPr="003E0B96">
        <w:rPr>
          <w:iCs/>
          <w:sz w:val="18"/>
          <w:szCs w:val="18"/>
        </w:rPr>
        <w:t>.3. das presentes Condições Gerais</w:t>
      </w:r>
      <w:r w:rsidR="00641AEB" w:rsidRPr="003E0B96">
        <w:rPr>
          <w:iCs/>
          <w:sz w:val="18"/>
          <w:szCs w:val="18"/>
        </w:rPr>
        <w:t xml:space="preserve">, tendo direito a ser indemnizado </w:t>
      </w:r>
      <w:r w:rsidR="003F753C" w:rsidRPr="003E0B96">
        <w:rPr>
          <w:iCs/>
          <w:sz w:val="18"/>
          <w:szCs w:val="18"/>
        </w:rPr>
        <w:t>pelos prejuízo</w:t>
      </w:r>
      <w:r w:rsidR="00263D12" w:rsidRPr="003E0B96">
        <w:rPr>
          <w:iCs/>
          <w:sz w:val="18"/>
          <w:szCs w:val="18"/>
        </w:rPr>
        <w:t>s</w:t>
      </w:r>
      <w:r w:rsidR="003F753C" w:rsidRPr="003E0B96">
        <w:rPr>
          <w:iCs/>
          <w:sz w:val="18"/>
          <w:szCs w:val="18"/>
        </w:rPr>
        <w:t xml:space="preserve"> sofridos causados pela referida omissão</w:t>
      </w:r>
      <w:r w:rsidR="00F16C5B" w:rsidRPr="003E0B96">
        <w:rPr>
          <w:iCs/>
          <w:sz w:val="18"/>
          <w:szCs w:val="18"/>
        </w:rPr>
        <w:t xml:space="preserve">. </w:t>
      </w:r>
    </w:p>
    <w:p w14:paraId="4644D50A" w14:textId="0F7067BF" w:rsidR="00FC414D" w:rsidRPr="003E0B96" w:rsidRDefault="00FC414D" w:rsidP="00D906C1">
      <w:pPr>
        <w:pStyle w:val="ListParagraph"/>
        <w:numPr>
          <w:ilvl w:val="1"/>
          <w:numId w:val="1"/>
        </w:numPr>
        <w:ind w:left="284" w:hanging="568"/>
        <w:jc w:val="both"/>
        <w:rPr>
          <w:iCs/>
          <w:sz w:val="18"/>
          <w:szCs w:val="18"/>
        </w:rPr>
      </w:pPr>
      <w:r w:rsidRPr="003E0B96">
        <w:rPr>
          <w:iCs/>
          <w:sz w:val="18"/>
          <w:szCs w:val="18"/>
        </w:rPr>
        <w:t xml:space="preserve">Ambas as Partes poderão fazer cessar o Contrato </w:t>
      </w:r>
      <w:r w:rsidR="00263D12" w:rsidRPr="003E0B96">
        <w:rPr>
          <w:iCs/>
          <w:sz w:val="18"/>
          <w:szCs w:val="18"/>
        </w:rPr>
        <w:t xml:space="preserve">em caso de incumprimento pela outra Parte de qualquer obrigação a que esta esteja adstrita. </w:t>
      </w:r>
    </w:p>
    <w:p w14:paraId="4CB7856A" w14:textId="40FB6F53" w:rsidR="00F16C5B" w:rsidRPr="003E0B96" w:rsidRDefault="006507E7" w:rsidP="0010198B">
      <w:pPr>
        <w:pStyle w:val="ListParagraph"/>
        <w:numPr>
          <w:ilvl w:val="1"/>
          <w:numId w:val="1"/>
        </w:numPr>
        <w:ind w:left="284" w:hanging="568"/>
        <w:jc w:val="both"/>
        <w:rPr>
          <w:iCs/>
          <w:sz w:val="18"/>
          <w:szCs w:val="18"/>
        </w:rPr>
      </w:pPr>
      <w:r w:rsidRPr="003E0B96">
        <w:rPr>
          <w:iCs/>
          <w:sz w:val="18"/>
          <w:szCs w:val="18"/>
        </w:rPr>
        <w:t>A cessação do presente Contrato</w:t>
      </w:r>
      <w:r w:rsidR="001E491B" w:rsidRPr="003E0B96">
        <w:rPr>
          <w:iCs/>
          <w:sz w:val="18"/>
          <w:szCs w:val="18"/>
        </w:rPr>
        <w:t xml:space="preserve">, independentemente da sua causa, determina o vencimento automático de todas as obrigações existentes entre as Partes. </w:t>
      </w:r>
    </w:p>
    <w:p w14:paraId="2AB837E8" w14:textId="6FBEF907" w:rsidR="001E491B" w:rsidRPr="003E0B96" w:rsidRDefault="00805066" w:rsidP="0010198B">
      <w:pPr>
        <w:pStyle w:val="ListParagraph"/>
        <w:numPr>
          <w:ilvl w:val="1"/>
          <w:numId w:val="1"/>
        </w:numPr>
        <w:ind w:left="284" w:hanging="568"/>
        <w:jc w:val="both"/>
        <w:rPr>
          <w:iCs/>
          <w:sz w:val="18"/>
          <w:szCs w:val="18"/>
        </w:rPr>
      </w:pPr>
      <w:r w:rsidRPr="003E0B96">
        <w:rPr>
          <w:iCs/>
          <w:sz w:val="18"/>
          <w:szCs w:val="18"/>
        </w:rPr>
        <w:t>A cessação do presente Contrato não confere ao Cliente</w:t>
      </w:r>
      <w:r w:rsidR="00B97ECF" w:rsidRPr="003E0B96">
        <w:rPr>
          <w:iCs/>
          <w:sz w:val="18"/>
          <w:szCs w:val="18"/>
        </w:rPr>
        <w:t xml:space="preserve"> o direito a ser indemnizado.</w:t>
      </w:r>
    </w:p>
    <w:p w14:paraId="46BD34B6" w14:textId="77777777" w:rsidR="00641AEB" w:rsidRPr="003E0B96" w:rsidRDefault="00641AEB" w:rsidP="00641AEB">
      <w:pPr>
        <w:pStyle w:val="ListParagraph"/>
        <w:ind w:left="284"/>
        <w:jc w:val="both"/>
        <w:rPr>
          <w:iCs/>
          <w:sz w:val="18"/>
          <w:szCs w:val="18"/>
        </w:rPr>
      </w:pPr>
    </w:p>
    <w:p w14:paraId="5994992A" w14:textId="519D1BE7" w:rsidR="00F63BF2" w:rsidRPr="003E0B96" w:rsidRDefault="00C46ED4" w:rsidP="00937CBB">
      <w:pPr>
        <w:pStyle w:val="ListParagraph"/>
        <w:numPr>
          <w:ilvl w:val="0"/>
          <w:numId w:val="1"/>
        </w:numPr>
        <w:ind w:left="0" w:hanging="284"/>
        <w:jc w:val="both"/>
        <w:rPr>
          <w:b/>
          <w:bCs/>
          <w:sz w:val="18"/>
          <w:szCs w:val="18"/>
        </w:rPr>
      </w:pPr>
      <w:r w:rsidRPr="003E0B96">
        <w:rPr>
          <w:b/>
          <w:bCs/>
          <w:sz w:val="18"/>
          <w:szCs w:val="18"/>
        </w:rPr>
        <w:t>Legislação e Foro Competente</w:t>
      </w:r>
    </w:p>
    <w:p w14:paraId="3BDA237B" w14:textId="3C152DE4" w:rsidR="00C46ED4" w:rsidRPr="003E0B96" w:rsidRDefault="009E2E90" w:rsidP="0022389F">
      <w:pPr>
        <w:pStyle w:val="ListParagraph"/>
        <w:numPr>
          <w:ilvl w:val="1"/>
          <w:numId w:val="1"/>
        </w:numPr>
        <w:ind w:left="284" w:hanging="568"/>
        <w:jc w:val="both"/>
        <w:rPr>
          <w:iCs/>
          <w:sz w:val="18"/>
          <w:szCs w:val="18"/>
        </w:rPr>
      </w:pPr>
      <w:r w:rsidRPr="003E0B96">
        <w:rPr>
          <w:iCs/>
          <w:sz w:val="18"/>
          <w:szCs w:val="18"/>
        </w:rPr>
        <w:t>O presente Contrato está sujeito à lei portuguesa.</w:t>
      </w:r>
    </w:p>
    <w:p w14:paraId="03D71D4C" w14:textId="159E2681" w:rsidR="009E2E90" w:rsidRPr="003E0B96" w:rsidRDefault="00D46C8A" w:rsidP="0022389F">
      <w:pPr>
        <w:pStyle w:val="ListParagraph"/>
        <w:numPr>
          <w:ilvl w:val="1"/>
          <w:numId w:val="1"/>
        </w:numPr>
        <w:ind w:left="284" w:hanging="568"/>
        <w:jc w:val="both"/>
        <w:rPr>
          <w:iCs/>
          <w:sz w:val="18"/>
          <w:szCs w:val="18"/>
        </w:rPr>
      </w:pPr>
      <w:r w:rsidRPr="003E0B96">
        <w:rPr>
          <w:iCs/>
          <w:sz w:val="18"/>
          <w:szCs w:val="18"/>
        </w:rPr>
        <w:t>Em caso de existência de conflito, nomeadamente sobre a interpretação, execução e aplicação das disposições legais ou contratuais aplicáveis, o Cliente e a Lisboagás procurarão resolvê-lo através da celebração de um acordo entre as partes.</w:t>
      </w:r>
    </w:p>
    <w:p w14:paraId="4D5FEB2E" w14:textId="0D32D1BD" w:rsidR="00D46C8A" w:rsidRPr="003E0B96" w:rsidRDefault="0085251F" w:rsidP="0022389F">
      <w:pPr>
        <w:pStyle w:val="ListParagraph"/>
        <w:numPr>
          <w:ilvl w:val="1"/>
          <w:numId w:val="1"/>
        </w:numPr>
        <w:ind w:left="284" w:hanging="568"/>
        <w:jc w:val="both"/>
        <w:rPr>
          <w:iCs/>
          <w:sz w:val="18"/>
          <w:szCs w:val="18"/>
        </w:rPr>
      </w:pPr>
      <w:r w:rsidRPr="003E0B96">
        <w:rPr>
          <w:iCs/>
          <w:sz w:val="18"/>
          <w:szCs w:val="18"/>
        </w:rPr>
        <w:t>No caso de litígio emergente deste Contrato ou com ele relacionado, é competente o Tribunal da Comarca de Lisboa, com expressa renúncia a qualquer outro.</w:t>
      </w:r>
    </w:p>
    <w:p w14:paraId="506F3EA1" w14:textId="7F74B1E9" w:rsidR="0085251F" w:rsidRPr="003E0B96" w:rsidRDefault="0064328A" w:rsidP="0022389F">
      <w:pPr>
        <w:pStyle w:val="ListParagraph"/>
        <w:numPr>
          <w:ilvl w:val="1"/>
          <w:numId w:val="1"/>
        </w:numPr>
        <w:ind w:left="284" w:hanging="568"/>
        <w:jc w:val="both"/>
        <w:rPr>
          <w:iCs/>
          <w:sz w:val="18"/>
          <w:szCs w:val="18"/>
        </w:rPr>
      </w:pPr>
      <w:r w:rsidRPr="003E0B96">
        <w:rPr>
          <w:iCs/>
          <w:sz w:val="18"/>
          <w:szCs w:val="18"/>
        </w:rPr>
        <w:t>O Cliente, pode submeter os conflitos de consumo, relativos ao presente Contrato, às entidades responsáveis pela defesa e promoção dos direitos dos consumidores, nomeadamente a Direção-Geral do Consumidor, ou aos mecanismos de resolução alternativa de litígios que se encontrem ou venham a ser legalmente constituídos.</w:t>
      </w:r>
    </w:p>
    <w:p w14:paraId="58DC99E3" w14:textId="4D4EF3D3" w:rsidR="00E15A0B" w:rsidRPr="003E0B96" w:rsidRDefault="00DA0D8E" w:rsidP="0022389F">
      <w:pPr>
        <w:pStyle w:val="ListParagraph"/>
        <w:numPr>
          <w:ilvl w:val="1"/>
          <w:numId w:val="1"/>
        </w:numPr>
        <w:ind w:left="284" w:hanging="568"/>
        <w:jc w:val="both"/>
        <w:rPr>
          <w:iCs/>
          <w:sz w:val="18"/>
          <w:szCs w:val="18"/>
        </w:rPr>
      </w:pPr>
      <w:r w:rsidRPr="003E0B96">
        <w:rPr>
          <w:iCs/>
          <w:sz w:val="18"/>
          <w:szCs w:val="18"/>
        </w:rPr>
        <w:t>Para efeitos do disposto no número anterior, o Cliente poderá recorrer a qualquer uma das entidades disponíveis para o efeito, seguidamente elencadas: CNIACC – Centro Nacional de Informação e Arbitragem de Conflitos de Consumo (</w:t>
      </w:r>
      <w:hyperlink r:id="rId10" w:history="1">
        <w:r w:rsidR="001D700C" w:rsidRPr="003E0B96">
          <w:rPr>
            <w:iCs/>
            <w:sz w:val="18"/>
            <w:szCs w:val="18"/>
          </w:rPr>
          <w:t>https://www.cniacc.pt/pt/)www.arbitragemdeconsumo.org</w:t>
        </w:r>
      </w:hyperlink>
      <w:r w:rsidRPr="003E0B96">
        <w:rPr>
          <w:iCs/>
          <w:sz w:val="18"/>
          <w:szCs w:val="18"/>
        </w:rPr>
        <w:t>)</w:t>
      </w:r>
      <w:r w:rsidR="001D700C" w:rsidRPr="003E0B96">
        <w:rPr>
          <w:iCs/>
          <w:sz w:val="18"/>
          <w:szCs w:val="18"/>
        </w:rPr>
        <w:t xml:space="preserve">; </w:t>
      </w:r>
      <w:r w:rsidRPr="003E0B96">
        <w:rPr>
          <w:iCs/>
          <w:sz w:val="18"/>
          <w:szCs w:val="18"/>
        </w:rPr>
        <w:t>CIMAAL – Centro de Informação, Mediação e Arbitragem de Conflitos de Consumo do Algarve (</w:t>
      </w:r>
      <w:hyperlink r:id="rId11" w:history="1">
        <w:r w:rsidRPr="003E0B96">
          <w:rPr>
            <w:iCs/>
            <w:sz w:val="18"/>
            <w:szCs w:val="18"/>
          </w:rPr>
          <w:t>www.consumidoronline.pt</w:t>
        </w:r>
      </w:hyperlink>
      <w:r w:rsidRPr="003E0B96">
        <w:rPr>
          <w:iCs/>
          <w:sz w:val="18"/>
          <w:szCs w:val="18"/>
        </w:rPr>
        <w:t>); Centro de Arbitragem de Conflitos de Consumo do Distrito de Coimbra (</w:t>
      </w:r>
      <w:hyperlink r:id="rId12" w:history="1">
        <w:r w:rsidR="001D700C" w:rsidRPr="003E0B96">
          <w:rPr>
            <w:iCs/>
            <w:sz w:val="18"/>
            <w:szCs w:val="18"/>
          </w:rPr>
          <w:t>www.centrodearbitragemdecoimbra.com</w:t>
        </w:r>
      </w:hyperlink>
      <w:r w:rsidR="001D700C" w:rsidRPr="003E0B96">
        <w:rPr>
          <w:iCs/>
          <w:sz w:val="18"/>
          <w:szCs w:val="18"/>
        </w:rPr>
        <w:t xml:space="preserve">); </w:t>
      </w:r>
      <w:r w:rsidRPr="003E0B96">
        <w:rPr>
          <w:iCs/>
          <w:sz w:val="18"/>
          <w:szCs w:val="18"/>
        </w:rPr>
        <w:t>Centro de Arbitragem de Conflitos de Consumo de Lisboa (</w:t>
      </w:r>
      <w:hyperlink r:id="rId13" w:history="1">
        <w:r w:rsidRPr="003E0B96">
          <w:rPr>
            <w:iCs/>
            <w:sz w:val="18"/>
            <w:szCs w:val="18"/>
          </w:rPr>
          <w:t>www.centroarbitragemlisboa.pt</w:t>
        </w:r>
      </w:hyperlink>
      <w:r w:rsidRPr="003E0B96">
        <w:rPr>
          <w:iCs/>
          <w:sz w:val="18"/>
          <w:szCs w:val="18"/>
        </w:rPr>
        <w:t>); Centro de Informação de Consumo e Arbitragem do Porto (</w:t>
      </w:r>
      <w:hyperlink r:id="rId14" w:history="1">
        <w:r w:rsidR="001D700C" w:rsidRPr="003E0B96">
          <w:rPr>
            <w:iCs/>
            <w:sz w:val="18"/>
            <w:szCs w:val="18"/>
          </w:rPr>
          <w:t>www.cicap.pt</w:t>
        </w:r>
      </w:hyperlink>
      <w:r w:rsidRPr="003E0B96">
        <w:rPr>
          <w:iCs/>
          <w:sz w:val="18"/>
          <w:szCs w:val="18"/>
        </w:rPr>
        <w:t>)</w:t>
      </w:r>
      <w:r w:rsidR="001D700C" w:rsidRPr="003E0B96">
        <w:rPr>
          <w:iCs/>
          <w:sz w:val="18"/>
          <w:szCs w:val="18"/>
        </w:rPr>
        <w:t xml:space="preserve">; </w:t>
      </w:r>
      <w:r w:rsidRPr="003E0B96">
        <w:rPr>
          <w:iCs/>
          <w:sz w:val="18"/>
          <w:szCs w:val="18"/>
        </w:rPr>
        <w:t>Centro de Arbitragem de Conflitos de Consumo do Vale do Ave (</w:t>
      </w:r>
      <w:hyperlink r:id="rId15" w:history="1">
        <w:r w:rsidR="001D700C" w:rsidRPr="003E0B96">
          <w:rPr>
            <w:iCs/>
            <w:sz w:val="18"/>
            <w:szCs w:val="18"/>
          </w:rPr>
          <w:t>www.triave.pt</w:t>
        </w:r>
      </w:hyperlink>
      <w:r w:rsidRPr="003E0B96">
        <w:rPr>
          <w:iCs/>
          <w:sz w:val="18"/>
          <w:szCs w:val="18"/>
        </w:rPr>
        <w:t>)</w:t>
      </w:r>
      <w:r w:rsidR="001D700C" w:rsidRPr="003E0B96">
        <w:rPr>
          <w:iCs/>
          <w:sz w:val="18"/>
          <w:szCs w:val="18"/>
        </w:rPr>
        <w:t xml:space="preserve">; </w:t>
      </w:r>
      <w:r w:rsidRPr="003E0B96">
        <w:rPr>
          <w:iCs/>
          <w:sz w:val="18"/>
          <w:szCs w:val="18"/>
        </w:rPr>
        <w:t>Centro de Informação, Mediação e Arbitragem de Consumo (</w:t>
      </w:r>
      <w:hyperlink r:id="rId16" w:history="1">
        <w:r w:rsidR="001D700C" w:rsidRPr="003E0B96">
          <w:rPr>
            <w:iCs/>
            <w:sz w:val="18"/>
            <w:szCs w:val="18"/>
          </w:rPr>
          <w:t>www.ciab.pt</w:t>
        </w:r>
      </w:hyperlink>
      <w:r w:rsidRPr="003E0B96">
        <w:rPr>
          <w:iCs/>
          <w:sz w:val="18"/>
          <w:szCs w:val="18"/>
        </w:rPr>
        <w:t>)</w:t>
      </w:r>
      <w:r w:rsidR="001D700C" w:rsidRPr="003E0B96">
        <w:rPr>
          <w:iCs/>
          <w:sz w:val="18"/>
          <w:szCs w:val="18"/>
        </w:rPr>
        <w:t xml:space="preserve">; </w:t>
      </w:r>
      <w:r w:rsidRPr="003E0B96">
        <w:rPr>
          <w:iCs/>
          <w:sz w:val="18"/>
          <w:szCs w:val="18"/>
        </w:rPr>
        <w:t>e Centro de Arbitragem da Universidade Autónoma de Lisboa (</w:t>
      </w:r>
      <w:hyperlink r:id="rId17" w:history="1">
        <w:r w:rsidRPr="003E0B96">
          <w:rPr>
            <w:iCs/>
            <w:sz w:val="18"/>
            <w:szCs w:val="18"/>
          </w:rPr>
          <w:t>http://arbitragem.autonoma.pt</w:t>
        </w:r>
      </w:hyperlink>
      <w:r w:rsidRPr="003E0B96">
        <w:rPr>
          <w:iCs/>
          <w:sz w:val="18"/>
          <w:szCs w:val="18"/>
        </w:rPr>
        <w:t>).</w:t>
      </w:r>
    </w:p>
    <w:p w14:paraId="13AEC434" w14:textId="7E2E705B" w:rsidR="001D700C" w:rsidRPr="003E0B96" w:rsidRDefault="0018095A" w:rsidP="0022389F">
      <w:pPr>
        <w:pStyle w:val="ListParagraph"/>
        <w:numPr>
          <w:ilvl w:val="1"/>
          <w:numId w:val="1"/>
        </w:numPr>
        <w:ind w:left="284" w:hanging="568"/>
        <w:jc w:val="both"/>
        <w:rPr>
          <w:iCs/>
          <w:sz w:val="18"/>
          <w:szCs w:val="18"/>
        </w:rPr>
      </w:pPr>
      <w:r w:rsidRPr="003E0B96">
        <w:rPr>
          <w:iCs/>
          <w:sz w:val="18"/>
          <w:szCs w:val="18"/>
        </w:rPr>
        <w:t>A lista de entidades acima referida é permanentemente atualizada pela Direção-Geral do Consumidor (</w:t>
      </w:r>
      <w:hyperlink r:id="rId18" w:history="1">
        <w:r w:rsidRPr="003E0B96">
          <w:rPr>
            <w:iCs/>
            <w:sz w:val="18"/>
            <w:szCs w:val="18"/>
          </w:rPr>
          <w:t>www.consumidor.gov.pt</w:t>
        </w:r>
      </w:hyperlink>
      <w:r w:rsidRPr="003E0B96">
        <w:rPr>
          <w:iCs/>
          <w:sz w:val="18"/>
          <w:szCs w:val="18"/>
        </w:rPr>
        <w:t>).</w:t>
      </w:r>
    </w:p>
    <w:p w14:paraId="52BA477C" w14:textId="0EEB0A07" w:rsidR="0018095A" w:rsidRDefault="004C21BE" w:rsidP="0022389F">
      <w:pPr>
        <w:pStyle w:val="ListParagraph"/>
        <w:numPr>
          <w:ilvl w:val="1"/>
          <w:numId w:val="1"/>
        </w:numPr>
        <w:ind w:left="284" w:hanging="568"/>
        <w:jc w:val="both"/>
        <w:rPr>
          <w:iCs/>
          <w:sz w:val="18"/>
          <w:szCs w:val="18"/>
        </w:rPr>
      </w:pPr>
      <w:r w:rsidRPr="003E0B96">
        <w:rPr>
          <w:iCs/>
          <w:sz w:val="18"/>
          <w:szCs w:val="18"/>
        </w:rPr>
        <w:t>Caso alguma das disposições do Contrato seja julgada nula ou por qualquer forma inválida, ineficaz ou inexequível, tal nulidade, invalidade, ineficácia ou inexequibilidade não afetará a validade das restantes disposições.</w:t>
      </w:r>
    </w:p>
    <w:p w14:paraId="7FAEE955" w14:textId="686A20DB" w:rsidR="007E3398" w:rsidRDefault="007E3398">
      <w:pPr>
        <w:rPr>
          <w:iCs/>
          <w:sz w:val="18"/>
          <w:szCs w:val="18"/>
        </w:rPr>
      </w:pPr>
      <w:r>
        <w:rPr>
          <w:iCs/>
          <w:sz w:val="18"/>
          <w:szCs w:val="18"/>
        </w:rPr>
        <w:br w:type="page"/>
      </w:r>
    </w:p>
    <w:p w14:paraId="435DCED6" w14:textId="77777777" w:rsidR="00A11D89" w:rsidRDefault="00A11D89" w:rsidP="007E3398">
      <w:pPr>
        <w:ind w:left="-284"/>
        <w:jc w:val="both"/>
        <w:rPr>
          <w:rFonts w:ascii="Canaro SemiBold" w:hAnsi="Canaro SemiBold"/>
          <w:b/>
          <w:bCs/>
          <w:color w:val="5B9BD5" w:themeColor="accent5"/>
          <w:sz w:val="24"/>
          <w:szCs w:val="24"/>
        </w:rPr>
      </w:pPr>
    </w:p>
    <w:p w14:paraId="4A7B561D" w14:textId="6C2E32C0" w:rsidR="007E3398" w:rsidRPr="00CF59A0" w:rsidRDefault="00F5740B" w:rsidP="007E3398">
      <w:pPr>
        <w:ind w:left="-284"/>
        <w:jc w:val="both"/>
        <w:rPr>
          <w:rFonts w:ascii="Canaro SemiBold" w:hAnsi="Canaro SemiBold"/>
          <w:b/>
          <w:bCs/>
          <w:color w:val="4472C4" w:themeColor="accent1"/>
          <w:sz w:val="24"/>
          <w:szCs w:val="24"/>
        </w:rPr>
      </w:pPr>
      <w:r w:rsidRPr="00CF59A0">
        <w:rPr>
          <w:rFonts w:ascii="Canaro SemiBold" w:hAnsi="Canaro SemiBold"/>
          <w:b/>
          <w:bCs/>
          <w:color w:val="4472C4" w:themeColor="accent1"/>
          <w:sz w:val="24"/>
          <w:szCs w:val="24"/>
        </w:rPr>
        <w:t xml:space="preserve">Anexo I: </w:t>
      </w:r>
      <w:r w:rsidR="009B7CC3" w:rsidRPr="00CF59A0">
        <w:rPr>
          <w:rFonts w:ascii="Canaro SemiBold" w:hAnsi="Canaro SemiBold"/>
          <w:b/>
          <w:bCs/>
          <w:color w:val="4472C4" w:themeColor="accent1"/>
          <w:sz w:val="24"/>
          <w:szCs w:val="24"/>
        </w:rPr>
        <w:t>Descrição do Equipamento e das suas componentes</w:t>
      </w:r>
    </w:p>
    <w:p w14:paraId="5789A5F4" w14:textId="2A738C93" w:rsidR="0041764B" w:rsidRPr="00AB076B" w:rsidRDefault="0057779B" w:rsidP="00A428B3">
      <w:pPr>
        <w:rPr>
          <w:iCs/>
          <w:sz w:val="18"/>
          <w:szCs w:val="18"/>
        </w:rPr>
      </w:pPr>
      <w:r w:rsidRPr="00AB076B">
        <w:rPr>
          <w:b/>
          <w:bCs/>
          <w:iCs/>
          <w:sz w:val="18"/>
          <w:szCs w:val="18"/>
        </w:rPr>
        <w:t>Caldeiras estanques de condensação com versões mistas instantâneas</w:t>
      </w:r>
      <w:r w:rsidRPr="00AB076B">
        <w:rPr>
          <w:iCs/>
          <w:sz w:val="18"/>
          <w:szCs w:val="18"/>
        </w:rPr>
        <w:t xml:space="preserve">: Serviços de Água Quente Sanitária (AQS) e Aquecimento, 2 potências disponíveis (24/24F e 28/28F). Compatíveis com gás natural e gás propano. </w:t>
      </w:r>
    </w:p>
    <w:p w14:paraId="4ADCBF60" w14:textId="77777777" w:rsidR="0041764B" w:rsidRPr="00AB076B" w:rsidRDefault="0057779B" w:rsidP="00A428B3">
      <w:pPr>
        <w:rPr>
          <w:iCs/>
          <w:sz w:val="18"/>
          <w:szCs w:val="18"/>
        </w:rPr>
      </w:pPr>
      <w:r w:rsidRPr="00AB076B">
        <w:rPr>
          <w:b/>
          <w:bCs/>
          <w:iCs/>
          <w:sz w:val="18"/>
          <w:szCs w:val="18"/>
        </w:rPr>
        <w:t xml:space="preserve">Dimensões </w:t>
      </w:r>
      <w:proofErr w:type="spellStart"/>
      <w:r w:rsidRPr="00AB076B">
        <w:rPr>
          <w:b/>
          <w:bCs/>
          <w:iCs/>
          <w:sz w:val="18"/>
          <w:szCs w:val="18"/>
        </w:rPr>
        <w:t>extracompactas</w:t>
      </w:r>
      <w:proofErr w:type="spellEnd"/>
      <w:r w:rsidRPr="00AB076B">
        <w:rPr>
          <w:iCs/>
          <w:sz w:val="18"/>
          <w:szCs w:val="18"/>
        </w:rPr>
        <w:t xml:space="preserve">: Facilitam a montagem em móveis de cozinha. </w:t>
      </w:r>
    </w:p>
    <w:p w14:paraId="4110583B" w14:textId="23F1663A" w:rsidR="0041764B" w:rsidRPr="00AB076B" w:rsidRDefault="0057779B" w:rsidP="00A428B3">
      <w:pPr>
        <w:rPr>
          <w:iCs/>
          <w:sz w:val="18"/>
          <w:szCs w:val="18"/>
        </w:rPr>
      </w:pPr>
      <w:r w:rsidRPr="00AB076B">
        <w:rPr>
          <w:b/>
          <w:bCs/>
          <w:iCs/>
          <w:sz w:val="18"/>
          <w:szCs w:val="18"/>
        </w:rPr>
        <w:t xml:space="preserve">Quadro de controlo digital com ecrã </w:t>
      </w:r>
      <w:proofErr w:type="spellStart"/>
      <w:r w:rsidRPr="00AB076B">
        <w:rPr>
          <w:b/>
          <w:bCs/>
          <w:iCs/>
          <w:sz w:val="18"/>
          <w:szCs w:val="18"/>
        </w:rPr>
        <w:t>retroiluminado</w:t>
      </w:r>
      <w:proofErr w:type="spellEnd"/>
      <w:r w:rsidRPr="00AB076B">
        <w:rPr>
          <w:iCs/>
          <w:sz w:val="18"/>
          <w:szCs w:val="18"/>
        </w:rPr>
        <w:t xml:space="preserve">: Botões que permitem selecionar e ajustar de forma fácil e intuitiva os serviços e parâmetros de funcionamento. </w:t>
      </w:r>
    </w:p>
    <w:p w14:paraId="769BF02A" w14:textId="77777777" w:rsidR="0041764B" w:rsidRPr="00AB076B" w:rsidRDefault="0057779B" w:rsidP="00A428B3">
      <w:pPr>
        <w:rPr>
          <w:iCs/>
          <w:sz w:val="18"/>
          <w:szCs w:val="18"/>
        </w:rPr>
      </w:pPr>
      <w:r w:rsidRPr="00AB076B">
        <w:rPr>
          <w:b/>
          <w:bCs/>
          <w:iCs/>
          <w:sz w:val="18"/>
          <w:szCs w:val="18"/>
        </w:rPr>
        <w:t>Função purga da instalação</w:t>
      </w:r>
      <w:r w:rsidRPr="00AB076B">
        <w:rPr>
          <w:iCs/>
          <w:sz w:val="18"/>
          <w:szCs w:val="18"/>
        </w:rPr>
        <w:t>: Facilita a eliminação do ar no circuito de aquecimento.</w:t>
      </w:r>
    </w:p>
    <w:p w14:paraId="41881BC6" w14:textId="7EEB7850" w:rsidR="0041764B" w:rsidRPr="00AB076B" w:rsidRDefault="0057779B" w:rsidP="00A428B3">
      <w:pPr>
        <w:rPr>
          <w:iCs/>
          <w:sz w:val="18"/>
          <w:szCs w:val="18"/>
        </w:rPr>
      </w:pPr>
      <w:r w:rsidRPr="00AB076B">
        <w:rPr>
          <w:b/>
          <w:bCs/>
          <w:iCs/>
          <w:sz w:val="18"/>
          <w:szCs w:val="18"/>
        </w:rPr>
        <w:t>Compatível com sistemas solares</w:t>
      </w:r>
      <w:r w:rsidRPr="00AB076B">
        <w:rPr>
          <w:iCs/>
          <w:sz w:val="18"/>
          <w:szCs w:val="18"/>
        </w:rPr>
        <w:t xml:space="preserve">: Preparada para trabalhar como apoio na produção de AQS. </w:t>
      </w:r>
    </w:p>
    <w:p w14:paraId="5F408E90" w14:textId="77777777" w:rsidR="0041764B" w:rsidRPr="00AB076B" w:rsidRDefault="0057779B" w:rsidP="00A428B3">
      <w:pPr>
        <w:rPr>
          <w:iCs/>
          <w:sz w:val="18"/>
          <w:szCs w:val="18"/>
        </w:rPr>
      </w:pPr>
      <w:r w:rsidRPr="00AB076B">
        <w:rPr>
          <w:b/>
          <w:bCs/>
          <w:iCs/>
          <w:sz w:val="18"/>
          <w:szCs w:val="18"/>
        </w:rPr>
        <w:t>Peso muito reduzido</w:t>
      </w:r>
      <w:r w:rsidRPr="00AB076B">
        <w:rPr>
          <w:iCs/>
          <w:sz w:val="18"/>
          <w:szCs w:val="18"/>
        </w:rPr>
        <w:t xml:space="preserve">: Para uma instalação mais ágil e cómoda. </w:t>
      </w:r>
    </w:p>
    <w:p w14:paraId="7A147F51" w14:textId="77777777" w:rsidR="0041764B" w:rsidRPr="00AB076B" w:rsidRDefault="0057779B" w:rsidP="00A428B3">
      <w:pPr>
        <w:rPr>
          <w:iCs/>
          <w:sz w:val="18"/>
          <w:szCs w:val="18"/>
        </w:rPr>
      </w:pPr>
      <w:r w:rsidRPr="00AB076B">
        <w:rPr>
          <w:b/>
          <w:bCs/>
          <w:iCs/>
          <w:sz w:val="18"/>
          <w:szCs w:val="18"/>
        </w:rPr>
        <w:t>Robustez</w:t>
      </w:r>
      <w:r w:rsidRPr="00AB076B">
        <w:rPr>
          <w:iCs/>
          <w:sz w:val="18"/>
          <w:szCs w:val="18"/>
        </w:rPr>
        <w:t xml:space="preserve">: Permutador de calor primário </w:t>
      </w:r>
      <w:proofErr w:type="spellStart"/>
      <w:r w:rsidRPr="00AB076B">
        <w:rPr>
          <w:iCs/>
          <w:sz w:val="18"/>
          <w:szCs w:val="18"/>
        </w:rPr>
        <w:t>monotérmico</w:t>
      </w:r>
      <w:proofErr w:type="spellEnd"/>
      <w:r w:rsidRPr="00AB076B">
        <w:rPr>
          <w:iCs/>
          <w:sz w:val="18"/>
          <w:szCs w:val="18"/>
        </w:rPr>
        <w:t xml:space="preserve"> de aço inoxidável com secção majorada para evitar que se possa obstruir. </w:t>
      </w:r>
    </w:p>
    <w:p w14:paraId="693CB84A" w14:textId="77777777" w:rsidR="0041764B" w:rsidRPr="00AB076B" w:rsidRDefault="0057779B" w:rsidP="00A428B3">
      <w:pPr>
        <w:rPr>
          <w:iCs/>
          <w:sz w:val="18"/>
          <w:szCs w:val="18"/>
        </w:rPr>
      </w:pPr>
      <w:r w:rsidRPr="00AB076B">
        <w:rPr>
          <w:b/>
          <w:bCs/>
          <w:iCs/>
          <w:sz w:val="18"/>
          <w:szCs w:val="18"/>
        </w:rPr>
        <w:t xml:space="preserve">Circulador </w:t>
      </w:r>
      <w:proofErr w:type="spellStart"/>
      <w:r w:rsidRPr="00AB076B">
        <w:rPr>
          <w:b/>
          <w:bCs/>
          <w:iCs/>
          <w:sz w:val="18"/>
          <w:szCs w:val="18"/>
        </w:rPr>
        <w:t>modulante</w:t>
      </w:r>
      <w:proofErr w:type="spellEnd"/>
      <w:r w:rsidRPr="00AB076B">
        <w:rPr>
          <w:b/>
          <w:bCs/>
          <w:iCs/>
          <w:sz w:val="18"/>
          <w:szCs w:val="18"/>
        </w:rPr>
        <w:t xml:space="preserve"> conforme com a </w:t>
      </w:r>
      <w:proofErr w:type="spellStart"/>
      <w:r w:rsidRPr="00AB076B">
        <w:rPr>
          <w:b/>
          <w:bCs/>
          <w:iCs/>
          <w:sz w:val="18"/>
          <w:szCs w:val="18"/>
        </w:rPr>
        <w:t>ErP</w:t>
      </w:r>
      <w:proofErr w:type="spellEnd"/>
      <w:r w:rsidRPr="00AB076B">
        <w:rPr>
          <w:iCs/>
          <w:sz w:val="18"/>
          <w:szCs w:val="18"/>
        </w:rPr>
        <w:t xml:space="preserve">: Reduz o consumo elétrico e o nível sonoro de funcionamento. </w:t>
      </w:r>
    </w:p>
    <w:p w14:paraId="000B1F09" w14:textId="77777777" w:rsidR="0041764B" w:rsidRPr="00AB076B" w:rsidRDefault="0057779B" w:rsidP="00A428B3">
      <w:pPr>
        <w:rPr>
          <w:iCs/>
          <w:sz w:val="18"/>
          <w:szCs w:val="18"/>
        </w:rPr>
      </w:pPr>
      <w:r w:rsidRPr="00A77222">
        <w:rPr>
          <w:b/>
          <w:bCs/>
          <w:iCs/>
          <w:sz w:val="18"/>
          <w:szCs w:val="18"/>
        </w:rPr>
        <w:t>V</w:t>
      </w:r>
      <w:r w:rsidRPr="00AB076B">
        <w:rPr>
          <w:b/>
          <w:bCs/>
          <w:iCs/>
          <w:sz w:val="18"/>
          <w:szCs w:val="18"/>
        </w:rPr>
        <w:t>álvula antirretorno na evacuação</w:t>
      </w:r>
      <w:r w:rsidRPr="00AB076B">
        <w:rPr>
          <w:iCs/>
          <w:sz w:val="18"/>
          <w:szCs w:val="18"/>
        </w:rPr>
        <w:t xml:space="preserve">: Permite trabalhar em sistemas de evacuação em sobrepressão, reduzindo assim a secção necessária, em caso de conduta coletiva. </w:t>
      </w:r>
    </w:p>
    <w:p w14:paraId="3FD50914" w14:textId="2DE4B274" w:rsidR="009B7CC3" w:rsidRPr="00AB076B" w:rsidRDefault="0057779B" w:rsidP="00A428B3">
      <w:pPr>
        <w:rPr>
          <w:iCs/>
          <w:sz w:val="18"/>
          <w:szCs w:val="18"/>
        </w:rPr>
      </w:pPr>
      <w:r w:rsidRPr="00AB076B">
        <w:rPr>
          <w:b/>
          <w:bCs/>
          <w:iCs/>
          <w:sz w:val="18"/>
          <w:szCs w:val="18"/>
        </w:rPr>
        <w:t>Saída de evacuação adaptável</w:t>
      </w:r>
      <w:r w:rsidRPr="00AB076B">
        <w:rPr>
          <w:iCs/>
          <w:sz w:val="18"/>
          <w:szCs w:val="18"/>
        </w:rPr>
        <w:t>: A saída concêntrica de evacuação dos produtos da combustão da caldeira permite a saída tanto em direção vertical com horizontal mediante a curva incluída no kit fornecido por defeito. Opções disponíveis: dupla conduta e condutas flexíveis (diâmetros 80 e 60 mm). Também dispõe de um kit horizontal de baixo perfil que permite reduzir ainda mais a altura total da instalação.</w:t>
      </w:r>
    </w:p>
    <w:p w14:paraId="37579694" w14:textId="1A6050FD" w:rsidR="0057779B" w:rsidRDefault="0057779B" w:rsidP="00CF59A0">
      <w:pPr>
        <w:jc w:val="center"/>
      </w:pPr>
      <w:r>
        <w:fldChar w:fldCharType="begin"/>
      </w:r>
      <w:r>
        <w:instrText xml:space="preserve"> LINK Excel.Sheet.12 "Livro1" "Folha1!L1C1:L15C7" \a \f 4 \h </w:instrText>
      </w:r>
      <w:r w:rsidR="00CF59A0">
        <w:instrText xml:space="preserve"> \* MERGEFORMAT </w:instrText>
      </w:r>
      <w:r>
        <w:fldChar w:fldCharType="separate"/>
      </w:r>
    </w:p>
    <w:tbl>
      <w:tblPr>
        <w:tblW w:w="6720" w:type="dxa"/>
        <w:tblInd w:w="899" w:type="dxa"/>
        <w:tblCellMar>
          <w:left w:w="70" w:type="dxa"/>
          <w:right w:w="70" w:type="dxa"/>
        </w:tblCellMar>
        <w:tblLook w:val="04A0" w:firstRow="1" w:lastRow="0" w:firstColumn="1" w:lastColumn="0" w:noHBand="0" w:noVBand="1"/>
      </w:tblPr>
      <w:tblGrid>
        <w:gridCol w:w="4512"/>
        <w:gridCol w:w="312"/>
        <w:gridCol w:w="312"/>
        <w:gridCol w:w="312"/>
        <w:gridCol w:w="312"/>
        <w:gridCol w:w="960"/>
      </w:tblGrid>
      <w:tr w:rsidR="0057779B" w:rsidRPr="0057779B" w14:paraId="48385328" w14:textId="77777777" w:rsidTr="00CF59A0">
        <w:trPr>
          <w:trHeight w:val="300"/>
        </w:trPr>
        <w:tc>
          <w:tcPr>
            <w:tcW w:w="5760" w:type="dxa"/>
            <w:gridSpan w:val="5"/>
            <w:tcBorders>
              <w:top w:val="nil"/>
              <w:left w:val="nil"/>
              <w:bottom w:val="single" w:sz="4" w:space="0" w:color="auto"/>
              <w:right w:val="nil"/>
            </w:tcBorders>
            <w:shd w:val="clear" w:color="auto" w:fill="auto"/>
            <w:noWrap/>
            <w:vAlign w:val="bottom"/>
            <w:hideMark/>
          </w:tcPr>
          <w:p w14:paraId="425050AD" w14:textId="35026132" w:rsidR="0057779B" w:rsidRPr="00CF59A0" w:rsidRDefault="0057779B" w:rsidP="00CF59A0">
            <w:pPr>
              <w:spacing w:after="0" w:line="240" w:lineRule="auto"/>
              <w:jc w:val="center"/>
              <w:rPr>
                <w:rFonts w:ascii="Calibri" w:eastAsia="Times New Roman" w:hAnsi="Calibri" w:cs="Calibri"/>
                <w:b/>
                <w:bCs/>
                <w:color w:val="000000"/>
                <w:sz w:val="20"/>
                <w:szCs w:val="20"/>
                <w:lang w:eastAsia="pt-PT"/>
              </w:rPr>
            </w:pPr>
            <w:proofErr w:type="spellStart"/>
            <w:r w:rsidRPr="00CF59A0">
              <w:rPr>
                <w:rFonts w:ascii="Calibri" w:eastAsia="Times New Roman" w:hAnsi="Calibri" w:cs="Calibri"/>
                <w:b/>
                <w:bCs/>
                <w:color w:val="000000"/>
                <w:sz w:val="20"/>
                <w:szCs w:val="20"/>
                <w:lang w:eastAsia="pt-PT"/>
              </w:rPr>
              <w:t>Baxi</w:t>
            </w:r>
            <w:proofErr w:type="spellEnd"/>
            <w:r w:rsidRPr="00CF59A0">
              <w:rPr>
                <w:rFonts w:ascii="Calibri" w:eastAsia="Times New Roman" w:hAnsi="Calibri" w:cs="Calibri"/>
                <w:b/>
                <w:bCs/>
                <w:color w:val="000000"/>
                <w:sz w:val="20"/>
                <w:szCs w:val="20"/>
                <w:lang w:eastAsia="pt-PT"/>
              </w:rPr>
              <w:t xml:space="preserve"> </w:t>
            </w:r>
            <w:proofErr w:type="spellStart"/>
            <w:r w:rsidRPr="00CF59A0">
              <w:rPr>
                <w:rFonts w:ascii="Calibri" w:eastAsia="Times New Roman" w:hAnsi="Calibri" w:cs="Calibri"/>
                <w:b/>
                <w:bCs/>
                <w:color w:val="000000"/>
                <w:sz w:val="20"/>
                <w:szCs w:val="20"/>
                <w:lang w:eastAsia="pt-PT"/>
              </w:rPr>
              <w:t>Cubic</w:t>
            </w:r>
            <w:proofErr w:type="spellEnd"/>
          </w:p>
        </w:tc>
        <w:tc>
          <w:tcPr>
            <w:tcW w:w="960" w:type="dxa"/>
            <w:tcBorders>
              <w:top w:val="nil"/>
              <w:left w:val="nil"/>
              <w:bottom w:val="nil"/>
              <w:right w:val="nil"/>
            </w:tcBorders>
            <w:shd w:val="clear" w:color="auto" w:fill="auto"/>
            <w:noWrap/>
            <w:vAlign w:val="bottom"/>
            <w:hideMark/>
          </w:tcPr>
          <w:p w14:paraId="1E33E72C" w14:textId="77777777" w:rsidR="0057779B" w:rsidRPr="00CF59A0" w:rsidRDefault="0057779B" w:rsidP="00CF59A0">
            <w:pPr>
              <w:spacing w:after="0" w:line="240" w:lineRule="auto"/>
              <w:jc w:val="center"/>
              <w:rPr>
                <w:rFonts w:ascii="Calibri" w:eastAsia="Times New Roman" w:hAnsi="Calibri" w:cs="Calibri"/>
                <w:b/>
                <w:bCs/>
                <w:color w:val="000000"/>
                <w:sz w:val="20"/>
                <w:szCs w:val="20"/>
                <w:lang w:eastAsia="pt-PT"/>
              </w:rPr>
            </w:pPr>
            <w:r w:rsidRPr="00CF59A0">
              <w:rPr>
                <w:rFonts w:ascii="Calibri" w:eastAsia="Times New Roman" w:hAnsi="Calibri" w:cs="Calibri"/>
                <w:b/>
                <w:bCs/>
                <w:color w:val="000000"/>
                <w:sz w:val="20"/>
                <w:szCs w:val="20"/>
                <w:lang w:eastAsia="pt-PT"/>
              </w:rPr>
              <w:t>28/28 F</w:t>
            </w:r>
          </w:p>
        </w:tc>
      </w:tr>
      <w:tr w:rsidR="0057779B" w:rsidRPr="0057779B" w14:paraId="4C9A0149" w14:textId="77777777" w:rsidTr="00CF59A0">
        <w:trPr>
          <w:trHeight w:val="300"/>
        </w:trPr>
        <w:tc>
          <w:tcPr>
            <w:tcW w:w="5136" w:type="dxa"/>
            <w:gridSpan w:val="3"/>
            <w:tcBorders>
              <w:top w:val="single" w:sz="4" w:space="0" w:color="auto"/>
              <w:left w:val="nil"/>
              <w:bottom w:val="nil"/>
              <w:right w:val="nil"/>
            </w:tcBorders>
            <w:shd w:val="clear" w:color="000000" w:fill="FFFFFF"/>
            <w:noWrap/>
            <w:vAlign w:val="center"/>
            <w:hideMark/>
          </w:tcPr>
          <w:p w14:paraId="33DB0D02" w14:textId="04DC8E34" w:rsidR="0057779B" w:rsidRPr="00CF59A0" w:rsidRDefault="0057779B" w:rsidP="00CF59A0">
            <w:pPr>
              <w:spacing w:after="0" w:line="240" w:lineRule="auto"/>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Potência térmica nominal AQS kW -</w:t>
            </w:r>
          </w:p>
        </w:tc>
        <w:tc>
          <w:tcPr>
            <w:tcW w:w="312" w:type="dxa"/>
            <w:tcBorders>
              <w:top w:val="nil"/>
              <w:left w:val="nil"/>
              <w:bottom w:val="nil"/>
              <w:right w:val="nil"/>
            </w:tcBorders>
            <w:shd w:val="clear" w:color="000000" w:fill="FFFFFF"/>
            <w:noWrap/>
            <w:vAlign w:val="bottom"/>
            <w:hideMark/>
          </w:tcPr>
          <w:p w14:paraId="758ED9A5" w14:textId="1C4817F7"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312" w:type="dxa"/>
            <w:tcBorders>
              <w:top w:val="nil"/>
              <w:left w:val="nil"/>
              <w:bottom w:val="nil"/>
              <w:right w:val="nil"/>
            </w:tcBorders>
            <w:shd w:val="clear" w:color="000000" w:fill="FFFFFF"/>
            <w:noWrap/>
            <w:vAlign w:val="bottom"/>
            <w:hideMark/>
          </w:tcPr>
          <w:p w14:paraId="04407991" w14:textId="14CC259E"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960" w:type="dxa"/>
            <w:tcBorders>
              <w:top w:val="single" w:sz="4" w:space="0" w:color="auto"/>
              <w:left w:val="nil"/>
              <w:bottom w:val="nil"/>
              <w:right w:val="nil"/>
            </w:tcBorders>
            <w:shd w:val="clear" w:color="000000" w:fill="FFFFFF"/>
            <w:noWrap/>
            <w:vAlign w:val="bottom"/>
            <w:hideMark/>
          </w:tcPr>
          <w:p w14:paraId="3884756F" w14:textId="76CBCB6D"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28,0</w:t>
            </w:r>
          </w:p>
        </w:tc>
      </w:tr>
      <w:tr w:rsidR="0057779B" w:rsidRPr="0057779B" w14:paraId="79FB3892" w14:textId="77777777" w:rsidTr="00CF59A0">
        <w:trPr>
          <w:trHeight w:val="300"/>
        </w:trPr>
        <w:tc>
          <w:tcPr>
            <w:tcW w:w="5760" w:type="dxa"/>
            <w:gridSpan w:val="5"/>
            <w:tcBorders>
              <w:top w:val="nil"/>
              <w:left w:val="nil"/>
              <w:bottom w:val="nil"/>
              <w:right w:val="nil"/>
            </w:tcBorders>
            <w:shd w:val="clear" w:color="000000" w:fill="FFFFFF"/>
            <w:noWrap/>
            <w:vAlign w:val="center"/>
            <w:hideMark/>
          </w:tcPr>
          <w:p w14:paraId="4B301ED1" w14:textId="03481B2C" w:rsidR="0057779B" w:rsidRPr="00CF59A0" w:rsidRDefault="0057779B" w:rsidP="00CF59A0">
            <w:pPr>
              <w:spacing w:after="0" w:line="240" w:lineRule="auto"/>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Potência térmica nominal Aquecimento 80/60ºC kW -</w:t>
            </w:r>
          </w:p>
        </w:tc>
        <w:tc>
          <w:tcPr>
            <w:tcW w:w="960" w:type="dxa"/>
            <w:tcBorders>
              <w:top w:val="nil"/>
              <w:left w:val="nil"/>
              <w:bottom w:val="nil"/>
              <w:right w:val="nil"/>
            </w:tcBorders>
            <w:shd w:val="clear" w:color="000000" w:fill="FFFFFF"/>
            <w:noWrap/>
            <w:vAlign w:val="bottom"/>
            <w:hideMark/>
          </w:tcPr>
          <w:p w14:paraId="101B14D7" w14:textId="00472328"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24,0</w:t>
            </w:r>
          </w:p>
        </w:tc>
      </w:tr>
      <w:tr w:rsidR="0057779B" w:rsidRPr="0057779B" w14:paraId="34DBE996" w14:textId="77777777" w:rsidTr="00CF59A0">
        <w:trPr>
          <w:trHeight w:val="300"/>
        </w:trPr>
        <w:tc>
          <w:tcPr>
            <w:tcW w:w="5760" w:type="dxa"/>
            <w:gridSpan w:val="5"/>
            <w:tcBorders>
              <w:top w:val="nil"/>
              <w:left w:val="nil"/>
              <w:bottom w:val="nil"/>
              <w:right w:val="nil"/>
            </w:tcBorders>
            <w:shd w:val="clear" w:color="000000" w:fill="FFFFFF"/>
            <w:noWrap/>
            <w:vAlign w:val="center"/>
            <w:hideMark/>
          </w:tcPr>
          <w:p w14:paraId="35B62948" w14:textId="441C638A" w:rsidR="0057779B" w:rsidRPr="00CF59A0" w:rsidRDefault="0057779B" w:rsidP="00CF59A0">
            <w:pPr>
              <w:spacing w:after="0" w:line="240" w:lineRule="auto"/>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Potência térmica nominal Aquecimento 50/30ºC kW -</w:t>
            </w:r>
          </w:p>
        </w:tc>
        <w:tc>
          <w:tcPr>
            <w:tcW w:w="960" w:type="dxa"/>
            <w:tcBorders>
              <w:top w:val="nil"/>
              <w:left w:val="nil"/>
              <w:bottom w:val="nil"/>
              <w:right w:val="nil"/>
            </w:tcBorders>
            <w:shd w:val="clear" w:color="000000" w:fill="FFFFFF"/>
            <w:noWrap/>
            <w:vAlign w:val="bottom"/>
            <w:hideMark/>
          </w:tcPr>
          <w:p w14:paraId="285A8CE5" w14:textId="102383D7"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26,1</w:t>
            </w:r>
          </w:p>
        </w:tc>
      </w:tr>
      <w:tr w:rsidR="0057779B" w:rsidRPr="0057779B" w14:paraId="5F687F11" w14:textId="77777777" w:rsidTr="00CF59A0">
        <w:trPr>
          <w:trHeight w:val="300"/>
        </w:trPr>
        <w:tc>
          <w:tcPr>
            <w:tcW w:w="5760" w:type="dxa"/>
            <w:gridSpan w:val="5"/>
            <w:tcBorders>
              <w:top w:val="nil"/>
              <w:left w:val="nil"/>
              <w:bottom w:val="nil"/>
              <w:right w:val="nil"/>
            </w:tcBorders>
            <w:shd w:val="clear" w:color="000000" w:fill="FFFFFF"/>
            <w:noWrap/>
            <w:vAlign w:val="center"/>
            <w:hideMark/>
          </w:tcPr>
          <w:p w14:paraId="739CE266" w14:textId="3D85891A" w:rsidR="0057779B" w:rsidRPr="00CF59A0" w:rsidRDefault="0057779B" w:rsidP="00CF59A0">
            <w:pPr>
              <w:spacing w:after="0" w:line="240" w:lineRule="auto"/>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Potência térmica reduzida Aquecimento 80/60ºC kW -</w:t>
            </w:r>
          </w:p>
        </w:tc>
        <w:tc>
          <w:tcPr>
            <w:tcW w:w="960" w:type="dxa"/>
            <w:tcBorders>
              <w:top w:val="nil"/>
              <w:left w:val="nil"/>
              <w:bottom w:val="nil"/>
              <w:right w:val="nil"/>
            </w:tcBorders>
            <w:shd w:val="clear" w:color="000000" w:fill="FFFFFF"/>
            <w:noWrap/>
            <w:vAlign w:val="bottom"/>
            <w:hideMark/>
          </w:tcPr>
          <w:p w14:paraId="64A66B1F" w14:textId="46E9748D"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5,8</w:t>
            </w:r>
          </w:p>
        </w:tc>
      </w:tr>
      <w:tr w:rsidR="0057779B" w:rsidRPr="0057779B" w14:paraId="558529E8" w14:textId="77777777" w:rsidTr="00CF59A0">
        <w:trPr>
          <w:trHeight w:val="300"/>
        </w:trPr>
        <w:tc>
          <w:tcPr>
            <w:tcW w:w="5136" w:type="dxa"/>
            <w:gridSpan w:val="3"/>
            <w:tcBorders>
              <w:top w:val="nil"/>
              <w:left w:val="nil"/>
              <w:bottom w:val="nil"/>
              <w:right w:val="nil"/>
            </w:tcBorders>
            <w:shd w:val="clear" w:color="000000" w:fill="FFFFFF"/>
            <w:noWrap/>
            <w:vAlign w:val="center"/>
            <w:hideMark/>
          </w:tcPr>
          <w:p w14:paraId="46DFA437" w14:textId="0529115B" w:rsidR="0057779B" w:rsidRPr="00CF59A0" w:rsidRDefault="0057779B" w:rsidP="00CF59A0">
            <w:pPr>
              <w:spacing w:after="0" w:line="240" w:lineRule="auto"/>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Classe de Eficiência em Aquecimento -</w:t>
            </w:r>
          </w:p>
        </w:tc>
        <w:tc>
          <w:tcPr>
            <w:tcW w:w="312" w:type="dxa"/>
            <w:tcBorders>
              <w:top w:val="nil"/>
              <w:left w:val="nil"/>
              <w:bottom w:val="nil"/>
              <w:right w:val="nil"/>
            </w:tcBorders>
            <w:shd w:val="clear" w:color="000000" w:fill="FFFFFF"/>
            <w:noWrap/>
            <w:vAlign w:val="bottom"/>
            <w:hideMark/>
          </w:tcPr>
          <w:p w14:paraId="0CABA12F" w14:textId="138B7227"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312" w:type="dxa"/>
            <w:tcBorders>
              <w:top w:val="nil"/>
              <w:left w:val="nil"/>
              <w:bottom w:val="nil"/>
              <w:right w:val="nil"/>
            </w:tcBorders>
            <w:shd w:val="clear" w:color="000000" w:fill="FFFFFF"/>
            <w:noWrap/>
            <w:vAlign w:val="bottom"/>
            <w:hideMark/>
          </w:tcPr>
          <w:p w14:paraId="2F533B54" w14:textId="67A70E71"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960" w:type="dxa"/>
            <w:tcBorders>
              <w:top w:val="nil"/>
              <w:left w:val="nil"/>
              <w:bottom w:val="nil"/>
              <w:right w:val="nil"/>
            </w:tcBorders>
            <w:shd w:val="clear" w:color="000000" w:fill="FFFFFF"/>
            <w:noWrap/>
            <w:vAlign w:val="bottom"/>
            <w:hideMark/>
          </w:tcPr>
          <w:p w14:paraId="2717C249" w14:textId="0EE201CF"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A</w:t>
            </w:r>
          </w:p>
        </w:tc>
      </w:tr>
      <w:tr w:rsidR="0057779B" w:rsidRPr="0057779B" w14:paraId="4659288D" w14:textId="77777777" w:rsidTr="00CF59A0">
        <w:trPr>
          <w:trHeight w:val="300"/>
        </w:trPr>
        <w:tc>
          <w:tcPr>
            <w:tcW w:w="5448" w:type="dxa"/>
            <w:gridSpan w:val="4"/>
            <w:tcBorders>
              <w:top w:val="nil"/>
              <w:left w:val="nil"/>
              <w:bottom w:val="nil"/>
              <w:right w:val="nil"/>
            </w:tcBorders>
            <w:shd w:val="clear" w:color="000000" w:fill="FFFFFF"/>
            <w:noWrap/>
            <w:vAlign w:val="center"/>
            <w:hideMark/>
          </w:tcPr>
          <w:p w14:paraId="70A59CBE" w14:textId="0F6C263D" w:rsidR="0057779B" w:rsidRPr="00CF59A0" w:rsidRDefault="0057779B" w:rsidP="00CF59A0">
            <w:pPr>
              <w:spacing w:after="0" w:line="240" w:lineRule="auto"/>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Classe de Eficiência em AQS / Perfil de carga -</w:t>
            </w:r>
          </w:p>
        </w:tc>
        <w:tc>
          <w:tcPr>
            <w:tcW w:w="312" w:type="dxa"/>
            <w:tcBorders>
              <w:top w:val="nil"/>
              <w:left w:val="nil"/>
              <w:bottom w:val="nil"/>
              <w:right w:val="nil"/>
            </w:tcBorders>
            <w:shd w:val="clear" w:color="000000" w:fill="FFFFFF"/>
            <w:noWrap/>
            <w:vAlign w:val="bottom"/>
            <w:hideMark/>
          </w:tcPr>
          <w:p w14:paraId="1C7B21B5" w14:textId="4303A2F0"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960" w:type="dxa"/>
            <w:tcBorders>
              <w:top w:val="nil"/>
              <w:left w:val="nil"/>
              <w:bottom w:val="nil"/>
              <w:right w:val="nil"/>
            </w:tcBorders>
            <w:shd w:val="clear" w:color="000000" w:fill="FFFFFF"/>
            <w:noWrap/>
            <w:vAlign w:val="bottom"/>
            <w:hideMark/>
          </w:tcPr>
          <w:p w14:paraId="3AC8D9D2" w14:textId="77777777"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A / XL</w:t>
            </w:r>
          </w:p>
        </w:tc>
      </w:tr>
      <w:tr w:rsidR="0057779B" w:rsidRPr="0057779B" w14:paraId="786B83A6" w14:textId="77777777" w:rsidTr="00CF59A0">
        <w:trPr>
          <w:trHeight w:val="300"/>
        </w:trPr>
        <w:tc>
          <w:tcPr>
            <w:tcW w:w="5448" w:type="dxa"/>
            <w:gridSpan w:val="4"/>
            <w:tcBorders>
              <w:top w:val="nil"/>
              <w:left w:val="nil"/>
              <w:bottom w:val="nil"/>
              <w:right w:val="nil"/>
            </w:tcBorders>
            <w:shd w:val="clear" w:color="000000" w:fill="FFFFFF"/>
            <w:noWrap/>
            <w:vAlign w:val="center"/>
            <w:hideMark/>
          </w:tcPr>
          <w:p w14:paraId="65758C33" w14:textId="7D8EB48A" w:rsidR="0057779B" w:rsidRPr="00CF59A0" w:rsidRDefault="0057779B" w:rsidP="00CF59A0">
            <w:pPr>
              <w:spacing w:after="0" w:line="240" w:lineRule="auto"/>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Rendimento à potência nominal (50/30°C) % -</w:t>
            </w:r>
          </w:p>
        </w:tc>
        <w:tc>
          <w:tcPr>
            <w:tcW w:w="312" w:type="dxa"/>
            <w:tcBorders>
              <w:top w:val="nil"/>
              <w:left w:val="nil"/>
              <w:bottom w:val="nil"/>
              <w:right w:val="nil"/>
            </w:tcBorders>
            <w:shd w:val="clear" w:color="000000" w:fill="FFFFFF"/>
            <w:noWrap/>
            <w:vAlign w:val="bottom"/>
            <w:hideMark/>
          </w:tcPr>
          <w:p w14:paraId="69907EB4" w14:textId="66B10CCA"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960" w:type="dxa"/>
            <w:tcBorders>
              <w:top w:val="nil"/>
              <w:left w:val="nil"/>
              <w:bottom w:val="nil"/>
              <w:right w:val="nil"/>
            </w:tcBorders>
            <w:shd w:val="clear" w:color="000000" w:fill="FFFFFF"/>
            <w:noWrap/>
            <w:vAlign w:val="bottom"/>
            <w:hideMark/>
          </w:tcPr>
          <w:p w14:paraId="6759BB18" w14:textId="77777777"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105,6</w:t>
            </w:r>
          </w:p>
        </w:tc>
      </w:tr>
      <w:tr w:rsidR="0057779B" w:rsidRPr="0057779B" w14:paraId="3BC4B03A" w14:textId="77777777" w:rsidTr="00CF59A0">
        <w:trPr>
          <w:trHeight w:val="300"/>
        </w:trPr>
        <w:tc>
          <w:tcPr>
            <w:tcW w:w="5448" w:type="dxa"/>
            <w:gridSpan w:val="4"/>
            <w:tcBorders>
              <w:top w:val="nil"/>
              <w:left w:val="nil"/>
              <w:bottom w:val="nil"/>
              <w:right w:val="nil"/>
            </w:tcBorders>
            <w:shd w:val="clear" w:color="000000" w:fill="FFFFFF"/>
            <w:noWrap/>
            <w:vAlign w:val="center"/>
            <w:hideMark/>
          </w:tcPr>
          <w:p w14:paraId="4FA661C7" w14:textId="3144888F" w:rsidR="0057779B" w:rsidRPr="00CF59A0" w:rsidRDefault="0057779B" w:rsidP="00CF59A0">
            <w:pPr>
              <w:spacing w:after="0" w:line="240" w:lineRule="auto"/>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Produção água quente sanitária ∆T 25ºC (1) l/min -</w:t>
            </w:r>
          </w:p>
        </w:tc>
        <w:tc>
          <w:tcPr>
            <w:tcW w:w="312" w:type="dxa"/>
            <w:tcBorders>
              <w:top w:val="nil"/>
              <w:left w:val="nil"/>
              <w:bottom w:val="nil"/>
              <w:right w:val="nil"/>
            </w:tcBorders>
            <w:shd w:val="clear" w:color="000000" w:fill="FFFFFF"/>
            <w:noWrap/>
            <w:vAlign w:val="bottom"/>
            <w:hideMark/>
          </w:tcPr>
          <w:p w14:paraId="3D01ED7A" w14:textId="2D37B45C"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960" w:type="dxa"/>
            <w:tcBorders>
              <w:top w:val="nil"/>
              <w:left w:val="nil"/>
              <w:bottom w:val="nil"/>
              <w:right w:val="nil"/>
            </w:tcBorders>
            <w:shd w:val="clear" w:color="000000" w:fill="FFFFFF"/>
            <w:noWrap/>
            <w:vAlign w:val="bottom"/>
            <w:hideMark/>
          </w:tcPr>
          <w:p w14:paraId="0E004787" w14:textId="4D0F022A"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16,1</w:t>
            </w:r>
          </w:p>
        </w:tc>
      </w:tr>
      <w:tr w:rsidR="0057779B" w:rsidRPr="0057779B" w14:paraId="18D12315" w14:textId="77777777" w:rsidTr="00CF59A0">
        <w:trPr>
          <w:trHeight w:val="300"/>
        </w:trPr>
        <w:tc>
          <w:tcPr>
            <w:tcW w:w="4824" w:type="dxa"/>
            <w:gridSpan w:val="2"/>
            <w:tcBorders>
              <w:top w:val="nil"/>
              <w:left w:val="nil"/>
              <w:bottom w:val="nil"/>
              <w:right w:val="nil"/>
            </w:tcBorders>
            <w:shd w:val="clear" w:color="000000" w:fill="FFFFFF"/>
            <w:noWrap/>
            <w:vAlign w:val="center"/>
            <w:hideMark/>
          </w:tcPr>
          <w:p w14:paraId="03A98507" w14:textId="77777777" w:rsidR="0057779B" w:rsidRPr="00CF59A0" w:rsidRDefault="0057779B" w:rsidP="00CF59A0">
            <w:pPr>
              <w:spacing w:after="0" w:line="240" w:lineRule="auto"/>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Capacidade vaso expansão l -</w:t>
            </w:r>
          </w:p>
        </w:tc>
        <w:tc>
          <w:tcPr>
            <w:tcW w:w="312" w:type="dxa"/>
            <w:tcBorders>
              <w:top w:val="nil"/>
              <w:left w:val="nil"/>
              <w:bottom w:val="nil"/>
              <w:right w:val="nil"/>
            </w:tcBorders>
            <w:shd w:val="clear" w:color="000000" w:fill="FFFFFF"/>
            <w:noWrap/>
            <w:vAlign w:val="bottom"/>
            <w:hideMark/>
          </w:tcPr>
          <w:p w14:paraId="19611CDC" w14:textId="53D2EFCE"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312" w:type="dxa"/>
            <w:tcBorders>
              <w:top w:val="nil"/>
              <w:left w:val="nil"/>
              <w:bottom w:val="nil"/>
              <w:right w:val="nil"/>
            </w:tcBorders>
            <w:shd w:val="clear" w:color="000000" w:fill="FFFFFF"/>
            <w:noWrap/>
            <w:vAlign w:val="bottom"/>
            <w:hideMark/>
          </w:tcPr>
          <w:p w14:paraId="3D9CEA0E" w14:textId="5E4696EA"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312" w:type="dxa"/>
            <w:tcBorders>
              <w:top w:val="nil"/>
              <w:left w:val="nil"/>
              <w:bottom w:val="nil"/>
              <w:right w:val="nil"/>
            </w:tcBorders>
            <w:shd w:val="clear" w:color="000000" w:fill="FFFFFF"/>
            <w:noWrap/>
            <w:vAlign w:val="bottom"/>
            <w:hideMark/>
          </w:tcPr>
          <w:p w14:paraId="47CBF586" w14:textId="55186A1F"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960" w:type="dxa"/>
            <w:tcBorders>
              <w:top w:val="nil"/>
              <w:left w:val="nil"/>
              <w:bottom w:val="nil"/>
              <w:right w:val="nil"/>
            </w:tcBorders>
            <w:shd w:val="clear" w:color="000000" w:fill="FFFFFF"/>
            <w:noWrap/>
            <w:vAlign w:val="bottom"/>
            <w:hideMark/>
          </w:tcPr>
          <w:p w14:paraId="7696F8BB" w14:textId="24ABFC4F"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7</w:t>
            </w:r>
          </w:p>
        </w:tc>
      </w:tr>
      <w:tr w:rsidR="0057779B" w:rsidRPr="0057779B" w14:paraId="10AFF682" w14:textId="77777777" w:rsidTr="00CF59A0">
        <w:trPr>
          <w:trHeight w:val="300"/>
        </w:trPr>
        <w:tc>
          <w:tcPr>
            <w:tcW w:w="4824" w:type="dxa"/>
            <w:gridSpan w:val="2"/>
            <w:tcBorders>
              <w:top w:val="nil"/>
              <w:left w:val="nil"/>
              <w:bottom w:val="nil"/>
              <w:right w:val="nil"/>
            </w:tcBorders>
            <w:shd w:val="clear" w:color="000000" w:fill="FFFFFF"/>
            <w:noWrap/>
            <w:vAlign w:val="center"/>
            <w:hideMark/>
          </w:tcPr>
          <w:p w14:paraId="2A3BADEE" w14:textId="74FB1C64" w:rsidR="0057779B" w:rsidRPr="00CF59A0" w:rsidRDefault="0057779B" w:rsidP="00CF59A0">
            <w:pPr>
              <w:spacing w:after="0" w:line="240" w:lineRule="auto"/>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Peso líquido aproximado kg -</w:t>
            </w:r>
          </w:p>
        </w:tc>
        <w:tc>
          <w:tcPr>
            <w:tcW w:w="312" w:type="dxa"/>
            <w:tcBorders>
              <w:top w:val="nil"/>
              <w:left w:val="nil"/>
              <w:bottom w:val="nil"/>
              <w:right w:val="nil"/>
            </w:tcBorders>
            <w:shd w:val="clear" w:color="000000" w:fill="FFFFFF"/>
            <w:noWrap/>
            <w:vAlign w:val="bottom"/>
            <w:hideMark/>
          </w:tcPr>
          <w:p w14:paraId="4E8C3A02" w14:textId="607D2349"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312" w:type="dxa"/>
            <w:tcBorders>
              <w:top w:val="nil"/>
              <w:left w:val="nil"/>
              <w:bottom w:val="nil"/>
              <w:right w:val="nil"/>
            </w:tcBorders>
            <w:shd w:val="clear" w:color="000000" w:fill="FFFFFF"/>
            <w:noWrap/>
            <w:vAlign w:val="bottom"/>
            <w:hideMark/>
          </w:tcPr>
          <w:p w14:paraId="749A418E" w14:textId="3BBF8435"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312" w:type="dxa"/>
            <w:tcBorders>
              <w:top w:val="nil"/>
              <w:left w:val="nil"/>
              <w:bottom w:val="nil"/>
              <w:right w:val="nil"/>
            </w:tcBorders>
            <w:shd w:val="clear" w:color="000000" w:fill="FFFFFF"/>
            <w:noWrap/>
            <w:vAlign w:val="bottom"/>
            <w:hideMark/>
          </w:tcPr>
          <w:p w14:paraId="5CD1D4D4" w14:textId="3D3FB32E"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960" w:type="dxa"/>
            <w:tcBorders>
              <w:top w:val="nil"/>
              <w:left w:val="nil"/>
              <w:bottom w:val="nil"/>
              <w:right w:val="nil"/>
            </w:tcBorders>
            <w:shd w:val="clear" w:color="000000" w:fill="FFFFFF"/>
            <w:noWrap/>
            <w:vAlign w:val="bottom"/>
            <w:hideMark/>
          </w:tcPr>
          <w:p w14:paraId="78DEA6BF" w14:textId="4FC9C1F4"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30,0</w:t>
            </w:r>
          </w:p>
        </w:tc>
      </w:tr>
      <w:tr w:rsidR="0057779B" w:rsidRPr="0057779B" w14:paraId="67B5F375" w14:textId="77777777" w:rsidTr="00CF59A0">
        <w:trPr>
          <w:trHeight w:val="300"/>
        </w:trPr>
        <w:tc>
          <w:tcPr>
            <w:tcW w:w="5760" w:type="dxa"/>
            <w:gridSpan w:val="5"/>
            <w:tcBorders>
              <w:top w:val="nil"/>
              <w:left w:val="nil"/>
              <w:bottom w:val="nil"/>
              <w:right w:val="nil"/>
            </w:tcBorders>
            <w:shd w:val="clear" w:color="000000" w:fill="FFFFFF"/>
            <w:noWrap/>
            <w:vAlign w:val="center"/>
            <w:hideMark/>
          </w:tcPr>
          <w:p w14:paraId="49909C4A" w14:textId="77777777" w:rsidR="0057779B" w:rsidRPr="00CF59A0" w:rsidRDefault="0057779B" w:rsidP="00CF59A0">
            <w:pPr>
              <w:spacing w:after="0" w:line="240" w:lineRule="auto"/>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Comprimento máximo conduta concêntrica 60/100 mm m -</w:t>
            </w:r>
          </w:p>
        </w:tc>
        <w:tc>
          <w:tcPr>
            <w:tcW w:w="960" w:type="dxa"/>
            <w:tcBorders>
              <w:top w:val="nil"/>
              <w:left w:val="nil"/>
              <w:bottom w:val="nil"/>
              <w:right w:val="nil"/>
            </w:tcBorders>
            <w:shd w:val="clear" w:color="000000" w:fill="FFFFFF"/>
            <w:noWrap/>
            <w:vAlign w:val="bottom"/>
            <w:hideMark/>
          </w:tcPr>
          <w:p w14:paraId="4BC88C2A" w14:textId="0A228A1B"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10</w:t>
            </w:r>
          </w:p>
        </w:tc>
      </w:tr>
      <w:tr w:rsidR="0057779B" w:rsidRPr="0057779B" w14:paraId="48F0C42F" w14:textId="77777777" w:rsidTr="00CF59A0">
        <w:trPr>
          <w:trHeight w:val="300"/>
        </w:trPr>
        <w:tc>
          <w:tcPr>
            <w:tcW w:w="5760" w:type="dxa"/>
            <w:gridSpan w:val="5"/>
            <w:tcBorders>
              <w:top w:val="nil"/>
              <w:left w:val="nil"/>
              <w:bottom w:val="nil"/>
              <w:right w:val="nil"/>
            </w:tcBorders>
            <w:shd w:val="clear" w:color="000000" w:fill="FFFFFF"/>
            <w:noWrap/>
            <w:vAlign w:val="center"/>
            <w:hideMark/>
          </w:tcPr>
          <w:p w14:paraId="4A49C54A" w14:textId="77777777" w:rsidR="0057779B" w:rsidRPr="00CF59A0" w:rsidRDefault="0057779B" w:rsidP="00CF59A0">
            <w:pPr>
              <w:spacing w:after="0" w:line="240" w:lineRule="auto"/>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Comprimento máximo conduta concêntrica 80/125 mm m -</w:t>
            </w:r>
          </w:p>
        </w:tc>
        <w:tc>
          <w:tcPr>
            <w:tcW w:w="960" w:type="dxa"/>
            <w:tcBorders>
              <w:top w:val="nil"/>
              <w:left w:val="nil"/>
              <w:bottom w:val="nil"/>
              <w:right w:val="nil"/>
            </w:tcBorders>
            <w:shd w:val="clear" w:color="000000" w:fill="FFFFFF"/>
            <w:noWrap/>
            <w:vAlign w:val="bottom"/>
            <w:hideMark/>
          </w:tcPr>
          <w:p w14:paraId="0B229668" w14:textId="6A18E6D4"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25</w:t>
            </w:r>
          </w:p>
        </w:tc>
      </w:tr>
      <w:tr w:rsidR="0057779B" w:rsidRPr="0057779B" w14:paraId="2AB9D794" w14:textId="77777777" w:rsidTr="00CF59A0">
        <w:trPr>
          <w:trHeight w:val="300"/>
        </w:trPr>
        <w:tc>
          <w:tcPr>
            <w:tcW w:w="5760" w:type="dxa"/>
            <w:gridSpan w:val="5"/>
            <w:tcBorders>
              <w:top w:val="nil"/>
              <w:left w:val="nil"/>
              <w:bottom w:val="nil"/>
              <w:right w:val="nil"/>
            </w:tcBorders>
            <w:shd w:val="clear" w:color="000000" w:fill="FFFFFF"/>
            <w:noWrap/>
            <w:vAlign w:val="center"/>
            <w:hideMark/>
          </w:tcPr>
          <w:p w14:paraId="57A325F3" w14:textId="77777777" w:rsidR="0057779B" w:rsidRPr="00CF59A0" w:rsidRDefault="0057779B" w:rsidP="00CF59A0">
            <w:pPr>
              <w:spacing w:after="0" w:line="240" w:lineRule="auto"/>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Comprimento máximo dupla conduta 80 mm (2) m -</w:t>
            </w:r>
          </w:p>
        </w:tc>
        <w:tc>
          <w:tcPr>
            <w:tcW w:w="960" w:type="dxa"/>
            <w:tcBorders>
              <w:top w:val="nil"/>
              <w:left w:val="nil"/>
              <w:bottom w:val="nil"/>
              <w:right w:val="nil"/>
            </w:tcBorders>
            <w:shd w:val="clear" w:color="000000" w:fill="FFFFFF"/>
            <w:noWrap/>
            <w:vAlign w:val="bottom"/>
            <w:hideMark/>
          </w:tcPr>
          <w:p w14:paraId="28F3C42E" w14:textId="585C359F"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80</w:t>
            </w:r>
          </w:p>
        </w:tc>
      </w:tr>
      <w:tr w:rsidR="0057779B" w:rsidRPr="0057779B" w14:paraId="0A7F69A9" w14:textId="77777777" w:rsidTr="00CF59A0">
        <w:trPr>
          <w:trHeight w:val="300"/>
        </w:trPr>
        <w:tc>
          <w:tcPr>
            <w:tcW w:w="4512" w:type="dxa"/>
            <w:tcBorders>
              <w:top w:val="nil"/>
              <w:left w:val="nil"/>
              <w:bottom w:val="single" w:sz="4" w:space="0" w:color="auto"/>
              <w:right w:val="nil"/>
            </w:tcBorders>
            <w:shd w:val="clear" w:color="000000" w:fill="FFFFFF"/>
            <w:noWrap/>
            <w:vAlign w:val="center"/>
            <w:hideMark/>
          </w:tcPr>
          <w:p w14:paraId="36900B74" w14:textId="6481F019" w:rsidR="0057779B" w:rsidRPr="00CF59A0" w:rsidRDefault="0057779B" w:rsidP="00CF59A0">
            <w:pPr>
              <w:spacing w:after="0" w:line="240" w:lineRule="auto"/>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Tipo de gás</w:t>
            </w:r>
          </w:p>
        </w:tc>
        <w:tc>
          <w:tcPr>
            <w:tcW w:w="312" w:type="dxa"/>
            <w:tcBorders>
              <w:top w:val="nil"/>
              <w:left w:val="nil"/>
              <w:bottom w:val="single" w:sz="4" w:space="0" w:color="auto"/>
              <w:right w:val="nil"/>
            </w:tcBorders>
            <w:shd w:val="clear" w:color="000000" w:fill="FFFFFF"/>
            <w:noWrap/>
            <w:vAlign w:val="bottom"/>
            <w:hideMark/>
          </w:tcPr>
          <w:p w14:paraId="4F142DF1" w14:textId="67E4D907"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312" w:type="dxa"/>
            <w:tcBorders>
              <w:top w:val="nil"/>
              <w:left w:val="nil"/>
              <w:bottom w:val="single" w:sz="4" w:space="0" w:color="auto"/>
              <w:right w:val="nil"/>
            </w:tcBorders>
            <w:shd w:val="clear" w:color="000000" w:fill="FFFFFF"/>
            <w:noWrap/>
            <w:vAlign w:val="bottom"/>
            <w:hideMark/>
          </w:tcPr>
          <w:p w14:paraId="5433575B" w14:textId="5166DB9A"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312" w:type="dxa"/>
            <w:tcBorders>
              <w:top w:val="nil"/>
              <w:left w:val="nil"/>
              <w:bottom w:val="single" w:sz="4" w:space="0" w:color="auto"/>
              <w:right w:val="nil"/>
            </w:tcBorders>
            <w:shd w:val="clear" w:color="000000" w:fill="FFFFFF"/>
            <w:noWrap/>
            <w:vAlign w:val="bottom"/>
            <w:hideMark/>
          </w:tcPr>
          <w:p w14:paraId="50AB31F9" w14:textId="720378A9"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312" w:type="dxa"/>
            <w:tcBorders>
              <w:top w:val="nil"/>
              <w:left w:val="nil"/>
              <w:bottom w:val="single" w:sz="4" w:space="0" w:color="auto"/>
              <w:right w:val="nil"/>
            </w:tcBorders>
            <w:shd w:val="clear" w:color="000000" w:fill="FFFFFF"/>
            <w:noWrap/>
            <w:vAlign w:val="bottom"/>
            <w:hideMark/>
          </w:tcPr>
          <w:p w14:paraId="52A8F738" w14:textId="0A38E3CF"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p>
        </w:tc>
        <w:tc>
          <w:tcPr>
            <w:tcW w:w="960" w:type="dxa"/>
            <w:tcBorders>
              <w:top w:val="nil"/>
              <w:left w:val="nil"/>
              <w:bottom w:val="single" w:sz="4" w:space="0" w:color="auto"/>
              <w:right w:val="nil"/>
            </w:tcBorders>
            <w:shd w:val="clear" w:color="000000" w:fill="FFFFFF"/>
            <w:noWrap/>
            <w:vAlign w:val="bottom"/>
            <w:hideMark/>
          </w:tcPr>
          <w:p w14:paraId="37211069" w14:textId="225819EC" w:rsidR="0057779B" w:rsidRPr="00CF59A0" w:rsidRDefault="0057779B" w:rsidP="00CF59A0">
            <w:pPr>
              <w:spacing w:after="0" w:line="240" w:lineRule="auto"/>
              <w:jc w:val="center"/>
              <w:rPr>
                <w:rFonts w:ascii="Calibri" w:eastAsia="Times New Roman" w:hAnsi="Calibri" w:cs="Calibri"/>
                <w:color w:val="000000"/>
                <w:sz w:val="20"/>
                <w:szCs w:val="20"/>
                <w:lang w:eastAsia="pt-PT"/>
              </w:rPr>
            </w:pPr>
            <w:r w:rsidRPr="00CF59A0">
              <w:rPr>
                <w:rFonts w:ascii="Calibri" w:eastAsia="Times New Roman" w:hAnsi="Calibri" w:cs="Calibri"/>
                <w:color w:val="000000"/>
                <w:sz w:val="20"/>
                <w:szCs w:val="20"/>
                <w:lang w:eastAsia="pt-PT"/>
              </w:rPr>
              <w:t>GN</w:t>
            </w:r>
          </w:p>
        </w:tc>
      </w:tr>
    </w:tbl>
    <w:p w14:paraId="3E5D4822" w14:textId="65A7C6CA" w:rsidR="004B758D" w:rsidRDefault="0057779B" w:rsidP="00CF59A0">
      <w:pPr>
        <w:jc w:val="center"/>
        <w:rPr>
          <w:sz w:val="18"/>
          <w:szCs w:val="18"/>
        </w:rPr>
      </w:pPr>
      <w:r>
        <w:rPr>
          <w:sz w:val="18"/>
          <w:szCs w:val="18"/>
        </w:rPr>
        <w:fldChar w:fldCharType="end"/>
      </w:r>
    </w:p>
    <w:p w14:paraId="7082269F" w14:textId="4C108989" w:rsidR="00AB076B" w:rsidRDefault="00AB076B">
      <w:pPr>
        <w:rPr>
          <w:sz w:val="18"/>
          <w:szCs w:val="18"/>
        </w:rPr>
      </w:pPr>
    </w:p>
    <w:p w14:paraId="31793CA4" w14:textId="13181A53" w:rsidR="00AB076B" w:rsidRDefault="00AB076B">
      <w:pPr>
        <w:rPr>
          <w:sz w:val="18"/>
          <w:szCs w:val="18"/>
        </w:rPr>
      </w:pPr>
    </w:p>
    <w:p w14:paraId="1EB6A537" w14:textId="77777777" w:rsidR="00AB076B" w:rsidRPr="00A11D89" w:rsidRDefault="00AB076B">
      <w:pPr>
        <w:rPr>
          <w:sz w:val="18"/>
          <w:szCs w:val="18"/>
        </w:rPr>
      </w:pPr>
    </w:p>
    <w:p w14:paraId="2BEDBABE" w14:textId="120139DC" w:rsidR="006D0B52" w:rsidRPr="00CF59A0" w:rsidRDefault="004B758D" w:rsidP="009B7CC3">
      <w:pPr>
        <w:tabs>
          <w:tab w:val="left" w:pos="1774"/>
        </w:tabs>
        <w:rPr>
          <w:rFonts w:ascii="Canaro SemiBold" w:hAnsi="Canaro SemiBold"/>
          <w:color w:val="4472C4" w:themeColor="accent1"/>
          <w:sz w:val="24"/>
          <w:szCs w:val="24"/>
        </w:rPr>
      </w:pPr>
      <w:r w:rsidRPr="00CF59A0">
        <w:rPr>
          <w:rFonts w:ascii="Canaro SemiBold" w:hAnsi="Canaro SemiBold"/>
          <w:color w:val="4472C4" w:themeColor="accent1"/>
          <w:sz w:val="24"/>
          <w:szCs w:val="24"/>
        </w:rPr>
        <w:t xml:space="preserve">Anexo </w:t>
      </w:r>
      <w:r w:rsidR="0004782B" w:rsidRPr="00CF59A0">
        <w:rPr>
          <w:rFonts w:ascii="Canaro SemiBold" w:hAnsi="Canaro SemiBold"/>
          <w:color w:val="4472C4" w:themeColor="accent1"/>
          <w:sz w:val="24"/>
          <w:szCs w:val="24"/>
        </w:rPr>
        <w:t>I</w:t>
      </w:r>
      <w:r w:rsidR="00CF59A0" w:rsidRPr="00CF59A0">
        <w:rPr>
          <w:rFonts w:ascii="Canaro SemiBold" w:hAnsi="Canaro SemiBold"/>
          <w:color w:val="4472C4" w:themeColor="accent1"/>
          <w:sz w:val="24"/>
          <w:szCs w:val="24"/>
        </w:rPr>
        <w:t>I</w:t>
      </w:r>
      <w:r w:rsidRPr="00CF59A0">
        <w:rPr>
          <w:rFonts w:ascii="Canaro SemiBold" w:hAnsi="Canaro SemiBold"/>
          <w:color w:val="4472C4" w:themeColor="accent1"/>
          <w:sz w:val="24"/>
          <w:szCs w:val="24"/>
        </w:rPr>
        <w:t>: Modelo de Livre Resolução</w:t>
      </w:r>
    </w:p>
    <w:p w14:paraId="23B255C6" w14:textId="7127D88E" w:rsidR="0032104C" w:rsidRPr="00DA448D" w:rsidRDefault="0032104C" w:rsidP="0032104C">
      <w:pPr>
        <w:pStyle w:val="BodyText"/>
        <w:spacing w:before="1" w:line="297" w:lineRule="auto"/>
        <w:ind w:right="383"/>
        <w:rPr>
          <w:rFonts w:eastAsiaTheme="minorHAnsi"/>
          <w:iCs/>
          <w:sz w:val="18"/>
          <w:szCs w:val="18"/>
        </w:rPr>
      </w:pPr>
      <w:r w:rsidRPr="00DA448D">
        <w:rPr>
          <w:rFonts w:eastAsiaTheme="minorHAnsi"/>
          <w:iCs/>
          <w:sz w:val="18"/>
          <w:szCs w:val="18"/>
        </w:rPr>
        <w:t xml:space="preserve">(a que se refere o disposto na cláusula </w:t>
      </w:r>
      <w:r w:rsidR="00DA448D">
        <w:rPr>
          <w:rFonts w:eastAsiaTheme="minorHAnsi"/>
          <w:iCs/>
          <w:sz w:val="18"/>
          <w:szCs w:val="18"/>
        </w:rPr>
        <w:t>9</w:t>
      </w:r>
      <w:r w:rsidRPr="00DA448D">
        <w:rPr>
          <w:rFonts w:eastAsiaTheme="minorHAnsi"/>
          <w:iCs/>
          <w:sz w:val="18"/>
          <w:szCs w:val="18"/>
        </w:rPr>
        <w:t>.</w:t>
      </w:r>
      <w:r w:rsidR="00B959DD">
        <w:rPr>
          <w:rFonts w:eastAsiaTheme="minorHAnsi"/>
          <w:iCs/>
          <w:sz w:val="18"/>
          <w:szCs w:val="18"/>
        </w:rPr>
        <w:t>1</w:t>
      </w:r>
      <w:r w:rsidRPr="00DA448D">
        <w:rPr>
          <w:rFonts w:eastAsiaTheme="minorHAnsi"/>
          <w:iCs/>
          <w:sz w:val="18"/>
          <w:szCs w:val="18"/>
        </w:rPr>
        <w:t xml:space="preserve"> e seguintes das Condições Gerais do Contrato)</w:t>
      </w:r>
    </w:p>
    <w:p w14:paraId="0B9149C6" w14:textId="77777777" w:rsidR="0032104C" w:rsidRPr="00DA448D" w:rsidRDefault="0032104C" w:rsidP="0032104C">
      <w:pPr>
        <w:pStyle w:val="BodyText"/>
        <w:ind w:left="0"/>
        <w:rPr>
          <w:rFonts w:eastAsiaTheme="minorHAnsi"/>
          <w:iCs/>
          <w:sz w:val="18"/>
          <w:szCs w:val="18"/>
        </w:rPr>
      </w:pPr>
    </w:p>
    <w:p w14:paraId="5FC7F749" w14:textId="77777777" w:rsidR="0032104C" w:rsidRPr="00DA448D" w:rsidRDefault="0032104C" w:rsidP="0032104C">
      <w:pPr>
        <w:pStyle w:val="BodyText"/>
        <w:spacing w:before="176"/>
        <w:rPr>
          <w:rFonts w:eastAsiaTheme="minorHAnsi"/>
          <w:iCs/>
          <w:sz w:val="18"/>
          <w:szCs w:val="18"/>
        </w:rPr>
      </w:pPr>
      <w:r w:rsidRPr="00DA448D">
        <w:rPr>
          <w:rFonts w:eastAsiaTheme="minorHAnsi"/>
          <w:iCs/>
          <w:sz w:val="18"/>
          <w:szCs w:val="18"/>
        </w:rPr>
        <w:t>Para:</w:t>
      </w:r>
    </w:p>
    <w:p w14:paraId="15669ADE" w14:textId="7E956314" w:rsidR="0032104C" w:rsidRPr="00DA448D" w:rsidRDefault="00B959DD" w:rsidP="00B959DD">
      <w:pPr>
        <w:pStyle w:val="BodyText"/>
        <w:spacing w:before="212" w:line="297" w:lineRule="auto"/>
        <w:ind w:right="2932"/>
        <w:rPr>
          <w:rFonts w:eastAsiaTheme="minorHAnsi"/>
          <w:iCs/>
          <w:sz w:val="18"/>
          <w:szCs w:val="18"/>
        </w:rPr>
      </w:pPr>
      <w:r w:rsidRPr="00B959DD">
        <w:rPr>
          <w:rFonts w:eastAsiaTheme="minorHAnsi"/>
          <w:iCs/>
          <w:sz w:val="18"/>
          <w:szCs w:val="18"/>
        </w:rPr>
        <w:t>Lisboagás GDL - Sociedade Distribuidora de Gás Natural de Lisboa, S.A.</w:t>
      </w:r>
      <w:r>
        <w:rPr>
          <w:rFonts w:eastAsiaTheme="minorHAnsi"/>
          <w:iCs/>
          <w:sz w:val="18"/>
          <w:szCs w:val="18"/>
        </w:rPr>
        <w:t xml:space="preserve"> </w:t>
      </w:r>
      <w:r w:rsidR="0032104C" w:rsidRPr="00DA448D">
        <w:rPr>
          <w:rFonts w:eastAsiaTheme="minorHAnsi"/>
          <w:iCs/>
          <w:sz w:val="18"/>
          <w:szCs w:val="18"/>
        </w:rPr>
        <w:t>Rua Tomás da Fonseca – Torre C – 1600-209 Lisboa</w:t>
      </w:r>
    </w:p>
    <w:p w14:paraId="1C4FE6FB" w14:textId="67D498EC" w:rsidR="0032104C" w:rsidRPr="00DA448D" w:rsidRDefault="0032104C" w:rsidP="0032104C">
      <w:pPr>
        <w:pStyle w:val="BodyText"/>
        <w:spacing w:before="1"/>
        <w:rPr>
          <w:rFonts w:eastAsiaTheme="minorHAnsi"/>
          <w:iCs/>
          <w:sz w:val="18"/>
          <w:szCs w:val="18"/>
        </w:rPr>
      </w:pPr>
      <w:r w:rsidRPr="00DA448D">
        <w:rPr>
          <w:rFonts w:eastAsiaTheme="minorHAnsi"/>
          <w:iCs/>
          <w:sz w:val="18"/>
          <w:szCs w:val="18"/>
        </w:rPr>
        <w:t xml:space="preserve">E-mail: </w:t>
      </w:r>
      <w:r w:rsidR="00CF59A0">
        <w:rPr>
          <w:rFonts w:eastAsiaTheme="minorHAnsi"/>
          <w:iCs/>
          <w:sz w:val="18"/>
          <w:szCs w:val="18"/>
        </w:rPr>
        <w:t>trocadecaldeiras@lisboagas.pt</w:t>
      </w:r>
    </w:p>
    <w:p w14:paraId="46BFA097" w14:textId="3397BAA3" w:rsidR="0032104C" w:rsidRPr="00DA448D" w:rsidRDefault="0032104C" w:rsidP="006701D3">
      <w:pPr>
        <w:pStyle w:val="BodyText"/>
        <w:spacing w:before="212" w:line="297" w:lineRule="auto"/>
        <w:ind w:right="383"/>
        <w:rPr>
          <w:rFonts w:eastAsiaTheme="minorHAnsi"/>
          <w:iCs/>
          <w:sz w:val="18"/>
          <w:szCs w:val="18"/>
        </w:rPr>
      </w:pPr>
      <w:r w:rsidRPr="00DA448D">
        <w:rPr>
          <w:rFonts w:eastAsiaTheme="minorHAnsi"/>
          <w:iCs/>
          <w:sz w:val="18"/>
          <w:szCs w:val="18"/>
        </w:rPr>
        <w:t xml:space="preserve">Pela presente comunico que resolvo o meu contrato de </w:t>
      </w:r>
      <w:r w:rsidR="00B959DD" w:rsidRPr="00B959DD">
        <w:rPr>
          <w:rFonts w:eastAsiaTheme="minorHAnsi"/>
          <w:iCs/>
          <w:sz w:val="18"/>
          <w:szCs w:val="18"/>
        </w:rPr>
        <w:t>Compra e Venda de Caldeiras de Condensação</w:t>
      </w:r>
      <w:r w:rsidR="00B70422">
        <w:rPr>
          <w:rFonts w:eastAsiaTheme="minorHAnsi"/>
          <w:iCs/>
          <w:sz w:val="18"/>
          <w:szCs w:val="18"/>
        </w:rPr>
        <w:t xml:space="preserve"> celebrado </w:t>
      </w:r>
      <w:r w:rsidR="006701D3">
        <w:rPr>
          <w:rFonts w:eastAsiaTheme="minorHAnsi"/>
          <w:iCs/>
          <w:sz w:val="18"/>
          <w:szCs w:val="18"/>
        </w:rPr>
        <w:t>em d</w:t>
      </w:r>
      <w:r w:rsidRPr="00DA448D">
        <w:rPr>
          <w:rFonts w:eastAsiaTheme="minorHAnsi"/>
          <w:iCs/>
          <w:sz w:val="18"/>
          <w:szCs w:val="18"/>
        </w:rPr>
        <w:t xml:space="preserve">ata: </w:t>
      </w:r>
      <w:r w:rsidRPr="00DA448D">
        <w:rPr>
          <w:rFonts w:eastAsiaTheme="minorHAnsi"/>
          <w:iCs/>
          <w:sz w:val="18"/>
          <w:szCs w:val="18"/>
        </w:rPr>
        <w:tab/>
        <w:t>/</w:t>
      </w:r>
      <w:r w:rsidRPr="00DA448D">
        <w:rPr>
          <w:rFonts w:eastAsiaTheme="minorHAnsi"/>
          <w:iCs/>
          <w:sz w:val="18"/>
          <w:szCs w:val="18"/>
        </w:rPr>
        <w:tab/>
        <w:t>/</w:t>
      </w:r>
      <w:r w:rsidRPr="00DA448D">
        <w:rPr>
          <w:rFonts w:eastAsiaTheme="minorHAnsi"/>
          <w:iCs/>
          <w:sz w:val="18"/>
          <w:szCs w:val="18"/>
        </w:rPr>
        <w:tab/>
      </w:r>
    </w:p>
    <w:p w14:paraId="4080A5B6" w14:textId="77777777" w:rsidR="0032104C" w:rsidRPr="00DA448D" w:rsidRDefault="0032104C" w:rsidP="0032104C">
      <w:pPr>
        <w:pStyle w:val="BodyText"/>
        <w:tabs>
          <w:tab w:val="left" w:pos="7935"/>
        </w:tabs>
        <w:spacing w:before="212" w:line="439" w:lineRule="auto"/>
        <w:ind w:right="861"/>
        <w:rPr>
          <w:rFonts w:eastAsiaTheme="minorHAnsi"/>
          <w:iCs/>
          <w:sz w:val="18"/>
          <w:szCs w:val="18"/>
        </w:rPr>
      </w:pPr>
      <w:r w:rsidRPr="00DA448D">
        <w:rPr>
          <w:rFonts w:eastAsiaTheme="minorHAnsi"/>
          <w:iCs/>
          <w:sz w:val="18"/>
          <w:szCs w:val="18"/>
        </w:rPr>
        <w:t xml:space="preserve">Nome do cliente: </w:t>
      </w:r>
      <w:r w:rsidRPr="00DA448D">
        <w:rPr>
          <w:rFonts w:eastAsiaTheme="minorHAnsi"/>
          <w:iCs/>
          <w:sz w:val="18"/>
          <w:szCs w:val="18"/>
        </w:rPr>
        <w:tab/>
        <w:t xml:space="preserve"> Morada da instalação: </w:t>
      </w:r>
      <w:r w:rsidRPr="00DA448D">
        <w:rPr>
          <w:rFonts w:eastAsiaTheme="minorHAnsi"/>
          <w:iCs/>
          <w:sz w:val="18"/>
          <w:szCs w:val="18"/>
        </w:rPr>
        <w:tab/>
      </w:r>
    </w:p>
    <w:p w14:paraId="2261FD54" w14:textId="77777777" w:rsidR="0032104C" w:rsidRPr="00DA448D" w:rsidRDefault="0032104C" w:rsidP="0032104C">
      <w:pPr>
        <w:pStyle w:val="BodyText"/>
        <w:spacing w:before="2"/>
        <w:ind w:left="3439"/>
        <w:rPr>
          <w:rFonts w:eastAsiaTheme="minorHAnsi"/>
          <w:iCs/>
          <w:sz w:val="18"/>
          <w:szCs w:val="18"/>
        </w:rPr>
      </w:pPr>
      <w:r w:rsidRPr="00DA448D">
        <w:rPr>
          <w:rFonts w:eastAsiaTheme="minorHAnsi"/>
          <w:iCs/>
          <w:sz w:val="18"/>
          <w:szCs w:val="18"/>
        </w:rPr>
        <w:t>Assinatura do cliente</w:t>
      </w:r>
    </w:p>
    <w:p w14:paraId="24403A90" w14:textId="77777777" w:rsidR="0032104C" w:rsidRPr="00DA448D" w:rsidRDefault="0032104C" w:rsidP="0032104C">
      <w:pPr>
        <w:pStyle w:val="BodyText"/>
        <w:ind w:left="0"/>
        <w:rPr>
          <w:rFonts w:eastAsiaTheme="minorHAnsi"/>
          <w:iCs/>
          <w:sz w:val="18"/>
          <w:szCs w:val="18"/>
        </w:rPr>
      </w:pPr>
    </w:p>
    <w:p w14:paraId="4F135EE2" w14:textId="706F9D74" w:rsidR="0032104C" w:rsidRPr="00DA448D" w:rsidRDefault="0032104C" w:rsidP="0032104C">
      <w:pPr>
        <w:pStyle w:val="BodyText"/>
        <w:spacing w:before="11"/>
        <w:ind w:left="0"/>
        <w:rPr>
          <w:rFonts w:eastAsiaTheme="minorHAnsi"/>
          <w:iCs/>
          <w:sz w:val="18"/>
          <w:szCs w:val="18"/>
        </w:rPr>
      </w:pPr>
      <w:r w:rsidRPr="00DA448D">
        <w:rPr>
          <w:rFonts w:eastAsiaTheme="minorHAnsi"/>
          <w:iCs/>
          <w:noProof/>
          <w:sz w:val="18"/>
          <w:szCs w:val="18"/>
        </w:rPr>
        <mc:AlternateContent>
          <mc:Choice Requires="wps">
            <w:drawing>
              <wp:anchor distT="0" distB="0" distL="0" distR="0" simplePos="0" relativeHeight="251659264" behindDoc="1" locked="0" layoutInCell="1" allowOverlap="1" wp14:anchorId="5CE04B37" wp14:editId="6F8C3239">
                <wp:simplePos x="0" y="0"/>
                <wp:positionH relativeFrom="page">
                  <wp:posOffset>2105660</wp:posOffset>
                </wp:positionH>
                <wp:positionV relativeFrom="paragraph">
                  <wp:posOffset>130175</wp:posOffset>
                </wp:positionV>
                <wp:extent cx="3561715" cy="1270"/>
                <wp:effectExtent l="10160" t="6350" r="9525" b="1143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1715" cy="1270"/>
                        </a:xfrm>
                        <a:custGeom>
                          <a:avLst/>
                          <a:gdLst>
                            <a:gd name="T0" fmla="+- 0 3316 3316"/>
                            <a:gd name="T1" fmla="*/ T0 w 5609"/>
                            <a:gd name="T2" fmla="+- 0 8924 3316"/>
                            <a:gd name="T3" fmla="*/ T2 w 5609"/>
                          </a:gdLst>
                          <a:ahLst/>
                          <a:cxnLst>
                            <a:cxn ang="0">
                              <a:pos x="T1" y="0"/>
                            </a:cxn>
                            <a:cxn ang="0">
                              <a:pos x="T3" y="0"/>
                            </a:cxn>
                          </a:cxnLst>
                          <a:rect l="0" t="0" r="r" b="b"/>
                          <a:pathLst>
                            <a:path w="5609">
                              <a:moveTo>
                                <a:pt x="0" y="0"/>
                              </a:moveTo>
                              <a:lnTo>
                                <a:pt x="5608" y="0"/>
                              </a:lnTo>
                            </a:path>
                          </a:pathLst>
                        </a:custGeom>
                        <a:noFill/>
                        <a:ln w="8401">
                          <a:solidFill>
                            <a:srgbClr val="333A4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2246" id="Freeform: Shape 4" o:spid="_x0000_s1026" style="position:absolute;margin-left:165.8pt;margin-top:10.25pt;width:280.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" path="m,l5608,e" filled="f" strokecolor="#333a45" strokeweight=".23336mm">
                <v:path arrowok="t" o:connecttype="custom" o:connectlocs="0,0;3561080,0" o:connectangles="0,0"/>
                <w10:wrap type="topAndBottom" anchorx="page"/>
              </v:shape>
            </w:pict>
          </mc:Fallback>
        </mc:AlternateContent>
      </w:r>
    </w:p>
    <w:p w14:paraId="352BE343" w14:textId="77777777" w:rsidR="0032104C" w:rsidRPr="00DA448D" w:rsidRDefault="0032104C" w:rsidP="0032104C">
      <w:pPr>
        <w:pStyle w:val="BodyText"/>
        <w:ind w:left="0"/>
        <w:rPr>
          <w:rFonts w:eastAsiaTheme="minorHAnsi"/>
          <w:iCs/>
          <w:sz w:val="18"/>
          <w:szCs w:val="18"/>
        </w:rPr>
      </w:pPr>
    </w:p>
    <w:p w14:paraId="6FBA4F0A" w14:textId="77777777" w:rsidR="0032104C" w:rsidRPr="00DA448D" w:rsidRDefault="0032104C" w:rsidP="0032104C">
      <w:pPr>
        <w:pStyle w:val="BodyText"/>
        <w:spacing w:before="9"/>
        <w:ind w:left="0"/>
        <w:rPr>
          <w:rFonts w:eastAsiaTheme="minorHAnsi"/>
          <w:iCs/>
          <w:sz w:val="18"/>
          <w:szCs w:val="18"/>
        </w:rPr>
      </w:pPr>
    </w:p>
    <w:p w14:paraId="5A2BC98F" w14:textId="04F868F3" w:rsidR="0032104C" w:rsidRPr="00DA448D" w:rsidRDefault="0032104C" w:rsidP="0032104C">
      <w:pPr>
        <w:rPr>
          <w:iCs/>
          <w:sz w:val="18"/>
          <w:szCs w:val="18"/>
        </w:rPr>
      </w:pPr>
      <w:r w:rsidRPr="00DA448D">
        <w:rPr>
          <w:iCs/>
          <w:sz w:val="18"/>
          <w:szCs w:val="18"/>
        </w:rPr>
        <w:t xml:space="preserve">Data: </w:t>
      </w:r>
      <w:r w:rsidRPr="00DA448D">
        <w:rPr>
          <w:iCs/>
          <w:sz w:val="18"/>
          <w:szCs w:val="18"/>
        </w:rPr>
        <w:tab/>
        <w:t>/</w:t>
      </w:r>
      <w:r w:rsidRPr="00DA448D">
        <w:rPr>
          <w:iCs/>
          <w:sz w:val="18"/>
          <w:szCs w:val="18"/>
        </w:rPr>
        <w:tab/>
        <w:t>/</w:t>
      </w:r>
      <w:r w:rsidRPr="00DA448D">
        <w:rPr>
          <w:iCs/>
          <w:sz w:val="18"/>
          <w:szCs w:val="18"/>
        </w:rPr>
        <w:tab/>
      </w:r>
    </w:p>
    <w:p w14:paraId="48DEE4DB" w14:textId="77777777" w:rsidR="0032104C" w:rsidRPr="0032104C" w:rsidRDefault="0032104C" w:rsidP="0032104C">
      <w:pPr>
        <w:rPr>
          <w:sz w:val="18"/>
          <w:szCs w:val="18"/>
        </w:rPr>
      </w:pPr>
    </w:p>
    <w:sectPr w:rsidR="0032104C" w:rsidRPr="0032104C">
      <w:headerReference w:type="even" r:id="rId19"/>
      <w:headerReference w:type="default" r:id="rId20"/>
      <w:headerReference w:type="firs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D822" w14:textId="77777777" w:rsidR="00A47B40" w:rsidRDefault="00A47B40" w:rsidP="006B6BB8">
      <w:pPr>
        <w:spacing w:after="0" w:line="240" w:lineRule="auto"/>
      </w:pPr>
      <w:r>
        <w:separator/>
      </w:r>
    </w:p>
  </w:endnote>
  <w:endnote w:type="continuationSeparator" w:id="0">
    <w:p w14:paraId="68623C8B" w14:textId="77777777" w:rsidR="00A47B40" w:rsidRDefault="00A47B40" w:rsidP="006B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aro SemiBold">
    <w:panose1 w:val="00000700000000000000"/>
    <w:charset w:val="00"/>
    <w:family w:val="modern"/>
    <w:notTrueType/>
    <w:pitch w:val="variable"/>
    <w:sig w:usb0="00000007" w:usb1="00000001" w:usb2="00000000" w:usb3="00000000" w:csb0="00000093" w:csb1="00000000"/>
  </w:font>
  <w:font w:name="Canaro Light">
    <w:panose1 w:val="00000400000000000000"/>
    <w:charset w:val="00"/>
    <w:family w:val="modern"/>
    <w:notTrueType/>
    <w:pitch w:val="variable"/>
    <w:sig w:usb0="00000007" w:usb1="00000001" w:usb2="00000000" w:usb3="00000000" w:csb0="00000093" w:csb1="00000000"/>
  </w:font>
  <w:font w:name="p~X»˛">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4527" w14:textId="77777777" w:rsidR="00A47B40" w:rsidRDefault="00A47B40" w:rsidP="006B6BB8">
      <w:pPr>
        <w:spacing w:after="0" w:line="240" w:lineRule="auto"/>
      </w:pPr>
      <w:r>
        <w:separator/>
      </w:r>
    </w:p>
  </w:footnote>
  <w:footnote w:type="continuationSeparator" w:id="0">
    <w:p w14:paraId="307D1FD2" w14:textId="77777777" w:rsidR="00A47B40" w:rsidRDefault="00A47B40" w:rsidP="006B6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F7BE" w14:textId="590BB47E" w:rsidR="006B6BB8" w:rsidRDefault="00CF2421">
    <w:pPr>
      <w:pStyle w:val="Header"/>
    </w:pPr>
    <w:r>
      <w:rPr>
        <w:noProof/>
      </w:rPr>
      <mc:AlternateContent>
        <mc:Choice Requires="wps">
          <w:drawing>
            <wp:anchor distT="0" distB="0" distL="0" distR="0" simplePos="0" relativeHeight="251659264" behindDoc="0" locked="0" layoutInCell="1" allowOverlap="1" wp14:anchorId="311825AF" wp14:editId="5C01FF0C">
              <wp:simplePos x="635" y="635"/>
              <wp:positionH relativeFrom="rightMargin">
                <wp:align>right</wp:align>
              </wp:positionH>
              <wp:positionV relativeFrom="paragraph">
                <wp:posOffset>635</wp:posOffset>
              </wp:positionV>
              <wp:extent cx="443865" cy="443865"/>
              <wp:effectExtent l="0" t="0" r="0" b="635"/>
              <wp:wrapSquare wrapText="bothSides"/>
              <wp:docPr id="10" name="Caixa de texto 10" descr="Uso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86C94A" w14:textId="19E4E218" w:rsidR="00CF2421" w:rsidRPr="00CF2421" w:rsidRDefault="00CF2421">
                          <w:pPr>
                            <w:rPr>
                              <w:rFonts w:ascii="Canaro Light" w:eastAsia="Canaro Light" w:hAnsi="Canaro Light" w:cs="Canaro Light"/>
                              <w:noProof/>
                              <w:color w:val="000000"/>
                              <w:sz w:val="20"/>
                              <w:szCs w:val="20"/>
                            </w:rPr>
                          </w:pPr>
                          <w:r w:rsidRPr="00CF2421">
                            <w:rPr>
                              <w:rFonts w:ascii="Canaro Light" w:eastAsia="Canaro Light" w:hAnsi="Canaro Light" w:cs="Canaro Light"/>
                              <w:noProof/>
                              <w:color w:val="000000"/>
                              <w:sz w:val="20"/>
                              <w:szCs w:val="20"/>
                            </w:rPr>
                            <w:t>Uso Interno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11825AF" id="_x0000_t202" coordsize="21600,21600" o:spt="202" path="m,l,21600r21600,l21600,xe">
              <v:stroke joinstyle="miter"/>
              <v:path gradientshapeok="t" o:connecttype="rect"/>
            </v:shapetype>
            <v:shape id="Caixa de texto 10" o:spid="_x0000_s1026" type="#_x0000_t202" alt="Uso Interno"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3C86C94A" w14:textId="19E4E218" w:rsidR="00CF2421" w:rsidRPr="00CF2421" w:rsidRDefault="00CF2421">
                    <w:pPr>
                      <w:rPr>
                        <w:rFonts w:ascii="Canaro Light" w:eastAsia="Canaro Light" w:hAnsi="Canaro Light" w:cs="Canaro Light"/>
                        <w:noProof/>
                        <w:color w:val="000000"/>
                        <w:sz w:val="20"/>
                        <w:szCs w:val="20"/>
                      </w:rPr>
                    </w:pPr>
                    <w:r w:rsidRPr="00CF2421">
                      <w:rPr>
                        <w:rFonts w:ascii="Canaro Light" w:eastAsia="Canaro Light" w:hAnsi="Canaro Light" w:cs="Canaro Light"/>
                        <w:noProof/>
                        <w:color w:val="000000"/>
                        <w:sz w:val="20"/>
                        <w:szCs w:val="20"/>
                      </w:rPr>
                      <w:t>Uso Interno</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18CF" w14:textId="140179A6" w:rsidR="006B6BB8" w:rsidRPr="00CF59A0" w:rsidRDefault="00CF2421" w:rsidP="006B6BB8">
    <w:pPr>
      <w:ind w:left="-284"/>
      <w:rPr>
        <w:rFonts w:ascii="Canaro SemiBold" w:hAnsi="Canaro SemiBold"/>
        <w:b/>
        <w:bCs/>
        <w:color w:val="4472C4" w:themeColor="accent1"/>
        <w:sz w:val="24"/>
        <w:szCs w:val="24"/>
      </w:rPr>
    </w:pPr>
    <w:r w:rsidRPr="00CF59A0">
      <w:rPr>
        <w:rFonts w:ascii="Canaro SemiBold" w:eastAsia="Calibri" w:hAnsi="Canaro SemiBold" w:cs="p~X»˛"/>
        <w:b/>
        <w:bCs/>
        <w:noProof/>
        <w:color w:val="4472C4" w:themeColor="accent1"/>
        <w:sz w:val="24"/>
        <w:szCs w:val="24"/>
      </w:rPr>
      <mc:AlternateContent>
        <mc:Choice Requires="wps">
          <w:drawing>
            <wp:anchor distT="0" distB="0" distL="0" distR="0" simplePos="0" relativeHeight="251660288" behindDoc="0" locked="0" layoutInCell="1" allowOverlap="1" wp14:anchorId="17A4A39C" wp14:editId="0EA3D09B">
              <wp:simplePos x="635" y="635"/>
              <wp:positionH relativeFrom="rightMargin">
                <wp:align>right</wp:align>
              </wp:positionH>
              <wp:positionV relativeFrom="paragraph">
                <wp:posOffset>635</wp:posOffset>
              </wp:positionV>
              <wp:extent cx="443865" cy="443865"/>
              <wp:effectExtent l="0" t="0" r="0" b="635"/>
              <wp:wrapSquare wrapText="bothSides"/>
              <wp:docPr id="11" name="Caixa de texto 11" descr="Uso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AFAEC4" w14:textId="5BC55AF5" w:rsidR="00CF2421" w:rsidRPr="00CF2421" w:rsidRDefault="00CF2421">
                          <w:pPr>
                            <w:rPr>
                              <w:rFonts w:ascii="Canaro Light" w:eastAsia="Canaro Light" w:hAnsi="Canaro Light" w:cs="Canaro Light"/>
                              <w:noProof/>
                              <w:color w:val="000000"/>
                              <w:sz w:val="20"/>
                              <w:szCs w:val="20"/>
                            </w:rPr>
                          </w:pP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7A4A39C" id="_x0000_t202" coordsize="21600,21600" o:spt="202" path="m,l,21600r21600,l21600,xe">
              <v:stroke joinstyle="miter"/>
              <v:path gradientshapeok="t" o:connecttype="rect"/>
            </v:shapetype>
            <v:shape id="Caixa de texto 11" o:spid="_x0000_s1027" type="#_x0000_t202" alt="Uso Interno"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0AAFAEC4" w14:textId="5BC55AF5" w:rsidR="00CF2421" w:rsidRPr="00CF2421" w:rsidRDefault="00CF2421">
                    <w:pPr>
                      <w:rPr>
                        <w:rFonts w:ascii="Canaro Light" w:eastAsia="Canaro Light" w:hAnsi="Canaro Light" w:cs="Canaro Light"/>
                        <w:noProof/>
                        <w:color w:val="000000"/>
                        <w:sz w:val="20"/>
                        <w:szCs w:val="20"/>
                      </w:rPr>
                    </w:pPr>
                  </w:p>
                </w:txbxContent>
              </v:textbox>
              <w10:wrap type="square" anchorx="margin"/>
            </v:shape>
          </w:pict>
        </mc:Fallback>
      </mc:AlternateContent>
    </w:r>
    <w:r w:rsidR="006B6BB8" w:rsidRPr="00CF59A0">
      <w:rPr>
        <w:rFonts w:ascii="Canaro SemiBold" w:eastAsia="Calibri" w:hAnsi="Canaro SemiBold" w:cs="p~X»˛"/>
        <w:b/>
        <w:bCs/>
        <w:color w:val="4472C4" w:themeColor="accent1"/>
        <w:sz w:val="24"/>
        <w:szCs w:val="24"/>
      </w:rPr>
      <w:t xml:space="preserve">Condições </w:t>
    </w:r>
    <w:r w:rsidR="006B6BB8" w:rsidRPr="00CF59A0">
      <w:rPr>
        <w:rFonts w:ascii="Canaro SemiBold" w:hAnsi="Canaro SemiBold"/>
        <w:b/>
        <w:bCs/>
        <w:color w:val="4472C4" w:themeColor="accent1"/>
        <w:sz w:val="24"/>
        <w:szCs w:val="24"/>
      </w:rPr>
      <w:t>Gerais</w:t>
    </w:r>
    <w:r w:rsidR="006B6BB8" w:rsidRPr="00CF59A0">
      <w:rPr>
        <w:rFonts w:ascii="Canaro SemiBold" w:hAnsi="Canaro SemiBold"/>
        <w:b/>
        <w:bCs/>
        <w:color w:val="4472C4" w:themeColor="accent1"/>
        <w:sz w:val="24"/>
        <w:szCs w:val="24"/>
      </w:rPr>
      <w:br/>
      <w:t>de Compra e Venda de Caldeiras de Condensação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95FD" w14:textId="2DA76744" w:rsidR="006B6BB8" w:rsidRDefault="00CF2421">
    <w:pPr>
      <w:pStyle w:val="Header"/>
    </w:pPr>
    <w:r>
      <w:rPr>
        <w:noProof/>
      </w:rPr>
      <mc:AlternateContent>
        <mc:Choice Requires="wps">
          <w:drawing>
            <wp:anchor distT="0" distB="0" distL="0" distR="0" simplePos="0" relativeHeight="251658240" behindDoc="0" locked="0" layoutInCell="1" allowOverlap="1" wp14:anchorId="0A316D87" wp14:editId="3169CAAE">
              <wp:simplePos x="635" y="635"/>
              <wp:positionH relativeFrom="rightMargin">
                <wp:align>right</wp:align>
              </wp:positionH>
              <wp:positionV relativeFrom="paragraph">
                <wp:posOffset>635</wp:posOffset>
              </wp:positionV>
              <wp:extent cx="443865" cy="443865"/>
              <wp:effectExtent l="0" t="0" r="0" b="635"/>
              <wp:wrapSquare wrapText="bothSides"/>
              <wp:docPr id="9" name="Caixa de texto 9" descr="Uso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B833B6" w14:textId="31A4999F" w:rsidR="00CF2421" w:rsidRPr="00CF2421" w:rsidRDefault="00CF2421">
                          <w:pPr>
                            <w:rPr>
                              <w:rFonts w:ascii="Canaro Light" w:eastAsia="Canaro Light" w:hAnsi="Canaro Light" w:cs="Canaro Light"/>
                              <w:noProof/>
                              <w:color w:val="000000"/>
                              <w:sz w:val="20"/>
                              <w:szCs w:val="20"/>
                            </w:rPr>
                          </w:pPr>
                          <w:r w:rsidRPr="00CF2421">
                            <w:rPr>
                              <w:rFonts w:ascii="Canaro Light" w:eastAsia="Canaro Light" w:hAnsi="Canaro Light" w:cs="Canaro Light"/>
                              <w:noProof/>
                              <w:color w:val="000000"/>
                              <w:sz w:val="20"/>
                              <w:szCs w:val="20"/>
                            </w:rPr>
                            <w:t>Uso Interno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A316D87" id="_x0000_t202" coordsize="21600,21600" o:spt="202" path="m,l,21600r21600,l21600,xe">
              <v:stroke joinstyle="miter"/>
              <v:path gradientshapeok="t" o:connecttype="rect"/>
            </v:shapetype>
            <v:shape id="Caixa de texto 9" o:spid="_x0000_s1028" type="#_x0000_t202" alt="Uso Interno"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2CB833B6" w14:textId="31A4999F" w:rsidR="00CF2421" w:rsidRPr="00CF2421" w:rsidRDefault="00CF2421">
                    <w:pPr>
                      <w:rPr>
                        <w:rFonts w:ascii="Canaro Light" w:eastAsia="Canaro Light" w:hAnsi="Canaro Light" w:cs="Canaro Light"/>
                        <w:noProof/>
                        <w:color w:val="000000"/>
                        <w:sz w:val="20"/>
                        <w:szCs w:val="20"/>
                      </w:rPr>
                    </w:pPr>
                    <w:r w:rsidRPr="00CF2421">
                      <w:rPr>
                        <w:rFonts w:ascii="Canaro Light" w:eastAsia="Canaro Light" w:hAnsi="Canaro Light" w:cs="Canaro Light"/>
                        <w:noProof/>
                        <w:color w:val="000000"/>
                        <w:sz w:val="20"/>
                        <w:szCs w:val="20"/>
                      </w:rPr>
                      <w:t>Uso Interno</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2A47"/>
    <w:multiLevelType w:val="hybridMultilevel"/>
    <w:tmpl w:val="CF5450EA"/>
    <w:lvl w:ilvl="0" w:tplc="9842AD5E">
      <w:start w:val="1"/>
      <w:numFmt w:val="decimal"/>
      <w:lvlText w:val="%1."/>
      <w:lvlJc w:val="left"/>
      <w:pPr>
        <w:ind w:left="770" w:hanging="309"/>
      </w:pPr>
      <w:rPr>
        <w:rFonts w:ascii="Tahoma" w:eastAsia="Tahoma" w:hAnsi="Tahoma" w:cs="Tahoma" w:hint="default"/>
        <w:b w:val="0"/>
        <w:bCs w:val="0"/>
        <w:i w:val="0"/>
        <w:iCs w:val="0"/>
        <w:color w:val="343B46"/>
        <w:spacing w:val="-1"/>
        <w:w w:val="100"/>
        <w:sz w:val="18"/>
        <w:szCs w:val="18"/>
        <w:lang w:val="pt-PT" w:eastAsia="en-US" w:bidi="ar-SA"/>
      </w:rPr>
    </w:lvl>
    <w:lvl w:ilvl="1" w:tplc="84A64F7A">
      <w:numFmt w:val="bullet"/>
      <w:lvlText w:val="•"/>
      <w:lvlJc w:val="left"/>
      <w:pPr>
        <w:ind w:left="1582" w:hanging="309"/>
      </w:pPr>
      <w:rPr>
        <w:rFonts w:hint="default"/>
        <w:lang w:val="pt-PT" w:eastAsia="en-US" w:bidi="ar-SA"/>
      </w:rPr>
    </w:lvl>
    <w:lvl w:ilvl="2" w:tplc="6F48AF0E">
      <w:numFmt w:val="bullet"/>
      <w:lvlText w:val="•"/>
      <w:lvlJc w:val="left"/>
      <w:pPr>
        <w:ind w:left="2384" w:hanging="309"/>
      </w:pPr>
      <w:rPr>
        <w:rFonts w:hint="default"/>
        <w:lang w:val="pt-PT" w:eastAsia="en-US" w:bidi="ar-SA"/>
      </w:rPr>
    </w:lvl>
    <w:lvl w:ilvl="3" w:tplc="41769708">
      <w:numFmt w:val="bullet"/>
      <w:lvlText w:val="•"/>
      <w:lvlJc w:val="left"/>
      <w:pPr>
        <w:ind w:left="3186" w:hanging="309"/>
      </w:pPr>
      <w:rPr>
        <w:rFonts w:hint="default"/>
        <w:lang w:val="pt-PT" w:eastAsia="en-US" w:bidi="ar-SA"/>
      </w:rPr>
    </w:lvl>
    <w:lvl w:ilvl="4" w:tplc="B72A350C">
      <w:numFmt w:val="bullet"/>
      <w:lvlText w:val="•"/>
      <w:lvlJc w:val="left"/>
      <w:pPr>
        <w:ind w:left="3988" w:hanging="309"/>
      </w:pPr>
      <w:rPr>
        <w:rFonts w:hint="default"/>
        <w:lang w:val="pt-PT" w:eastAsia="en-US" w:bidi="ar-SA"/>
      </w:rPr>
    </w:lvl>
    <w:lvl w:ilvl="5" w:tplc="803041A8">
      <w:numFmt w:val="bullet"/>
      <w:lvlText w:val="•"/>
      <w:lvlJc w:val="left"/>
      <w:pPr>
        <w:ind w:left="4790" w:hanging="309"/>
      </w:pPr>
      <w:rPr>
        <w:rFonts w:hint="default"/>
        <w:lang w:val="pt-PT" w:eastAsia="en-US" w:bidi="ar-SA"/>
      </w:rPr>
    </w:lvl>
    <w:lvl w:ilvl="6" w:tplc="3D6EF80C">
      <w:numFmt w:val="bullet"/>
      <w:lvlText w:val="•"/>
      <w:lvlJc w:val="left"/>
      <w:pPr>
        <w:ind w:left="5592" w:hanging="309"/>
      </w:pPr>
      <w:rPr>
        <w:rFonts w:hint="default"/>
        <w:lang w:val="pt-PT" w:eastAsia="en-US" w:bidi="ar-SA"/>
      </w:rPr>
    </w:lvl>
    <w:lvl w:ilvl="7" w:tplc="AE405766">
      <w:numFmt w:val="bullet"/>
      <w:lvlText w:val="•"/>
      <w:lvlJc w:val="left"/>
      <w:pPr>
        <w:ind w:left="6394" w:hanging="309"/>
      </w:pPr>
      <w:rPr>
        <w:rFonts w:hint="default"/>
        <w:lang w:val="pt-PT" w:eastAsia="en-US" w:bidi="ar-SA"/>
      </w:rPr>
    </w:lvl>
    <w:lvl w:ilvl="8" w:tplc="628E4F6C">
      <w:numFmt w:val="bullet"/>
      <w:lvlText w:val="•"/>
      <w:lvlJc w:val="left"/>
      <w:pPr>
        <w:ind w:left="7196" w:hanging="309"/>
      </w:pPr>
      <w:rPr>
        <w:rFonts w:hint="default"/>
        <w:lang w:val="pt-PT" w:eastAsia="en-US" w:bidi="ar-SA"/>
      </w:rPr>
    </w:lvl>
  </w:abstractNum>
  <w:abstractNum w:abstractNumId="1" w15:restartNumberingAfterBreak="0">
    <w:nsid w:val="1FB75EBB"/>
    <w:multiLevelType w:val="hybridMultilevel"/>
    <w:tmpl w:val="37DEA55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2F30CA3"/>
    <w:multiLevelType w:val="hybridMultilevel"/>
    <w:tmpl w:val="F9526BBE"/>
    <w:lvl w:ilvl="0" w:tplc="DF9E3426">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 w15:restartNumberingAfterBreak="0">
    <w:nsid w:val="28B26F3B"/>
    <w:multiLevelType w:val="hybridMultilevel"/>
    <w:tmpl w:val="1640D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4F216F"/>
    <w:multiLevelType w:val="multilevel"/>
    <w:tmpl w:val="9ECC6AB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7AF7755"/>
    <w:multiLevelType w:val="hybridMultilevel"/>
    <w:tmpl w:val="9D125DE2"/>
    <w:lvl w:ilvl="0" w:tplc="8AF20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B0DEF"/>
    <w:multiLevelType w:val="hybridMultilevel"/>
    <w:tmpl w:val="9F18D638"/>
    <w:lvl w:ilvl="0" w:tplc="DFBA9D6E">
      <w:start w:val="1"/>
      <w:numFmt w:val="lowerLetter"/>
      <w:lvlText w:val="%1)"/>
      <w:lvlJc w:val="left"/>
      <w:pPr>
        <w:ind w:left="720" w:hanging="360"/>
      </w:pPr>
      <w:rPr>
        <w:rFonts w:hint="default"/>
        <w:i w:val="0"/>
        <w:i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2128238159">
    <w:abstractNumId w:val="4"/>
  </w:num>
  <w:num w:numId="2" w16cid:durableId="1898977026">
    <w:abstractNumId w:val="2"/>
  </w:num>
  <w:num w:numId="3" w16cid:durableId="1879052889">
    <w:abstractNumId w:val="3"/>
  </w:num>
  <w:num w:numId="4" w16cid:durableId="306858246">
    <w:abstractNumId w:val="5"/>
  </w:num>
  <w:num w:numId="5" w16cid:durableId="356279783">
    <w:abstractNumId w:val="6"/>
  </w:num>
  <w:num w:numId="6" w16cid:durableId="1812481722">
    <w:abstractNumId w:val="1"/>
  </w:num>
  <w:num w:numId="7" w16cid:durableId="95532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B8"/>
    <w:rsid w:val="00005B24"/>
    <w:rsid w:val="000267DF"/>
    <w:rsid w:val="000278AF"/>
    <w:rsid w:val="00047624"/>
    <w:rsid w:val="0004782B"/>
    <w:rsid w:val="000562D4"/>
    <w:rsid w:val="00056F78"/>
    <w:rsid w:val="00075998"/>
    <w:rsid w:val="00080A63"/>
    <w:rsid w:val="000A1A25"/>
    <w:rsid w:val="000E5E46"/>
    <w:rsid w:val="0010198B"/>
    <w:rsid w:val="00104E45"/>
    <w:rsid w:val="001132F6"/>
    <w:rsid w:val="001140BC"/>
    <w:rsid w:val="00120CFE"/>
    <w:rsid w:val="00131C9E"/>
    <w:rsid w:val="00136054"/>
    <w:rsid w:val="001365DC"/>
    <w:rsid w:val="0018095A"/>
    <w:rsid w:val="001843A2"/>
    <w:rsid w:val="001A2332"/>
    <w:rsid w:val="001D700C"/>
    <w:rsid w:val="001E1C6A"/>
    <w:rsid w:val="001E491B"/>
    <w:rsid w:val="002028E6"/>
    <w:rsid w:val="0022339A"/>
    <w:rsid w:val="0022389F"/>
    <w:rsid w:val="00241E41"/>
    <w:rsid w:val="00263D12"/>
    <w:rsid w:val="00272A1E"/>
    <w:rsid w:val="00281F35"/>
    <w:rsid w:val="00285151"/>
    <w:rsid w:val="00285C3D"/>
    <w:rsid w:val="00291B0C"/>
    <w:rsid w:val="00292591"/>
    <w:rsid w:val="002A7237"/>
    <w:rsid w:val="002A724D"/>
    <w:rsid w:val="002B6B29"/>
    <w:rsid w:val="002C0122"/>
    <w:rsid w:val="002C2747"/>
    <w:rsid w:val="002D6C45"/>
    <w:rsid w:val="002D7A10"/>
    <w:rsid w:val="002E7467"/>
    <w:rsid w:val="0032104C"/>
    <w:rsid w:val="003253B6"/>
    <w:rsid w:val="00353099"/>
    <w:rsid w:val="00354BC7"/>
    <w:rsid w:val="0036370C"/>
    <w:rsid w:val="003860E9"/>
    <w:rsid w:val="003A34FA"/>
    <w:rsid w:val="003A3BEA"/>
    <w:rsid w:val="003D69D9"/>
    <w:rsid w:val="003E0B96"/>
    <w:rsid w:val="003E2DF8"/>
    <w:rsid w:val="003F6424"/>
    <w:rsid w:val="003F753C"/>
    <w:rsid w:val="00416EF7"/>
    <w:rsid w:val="0041764B"/>
    <w:rsid w:val="004439D7"/>
    <w:rsid w:val="004525F9"/>
    <w:rsid w:val="00455464"/>
    <w:rsid w:val="00460AC6"/>
    <w:rsid w:val="004B758D"/>
    <w:rsid w:val="004C21BE"/>
    <w:rsid w:val="004D1688"/>
    <w:rsid w:val="004E5948"/>
    <w:rsid w:val="004F2A43"/>
    <w:rsid w:val="004F2E1C"/>
    <w:rsid w:val="00500C6F"/>
    <w:rsid w:val="00502E30"/>
    <w:rsid w:val="005109DC"/>
    <w:rsid w:val="0052332C"/>
    <w:rsid w:val="005260FC"/>
    <w:rsid w:val="005325CB"/>
    <w:rsid w:val="00532BD1"/>
    <w:rsid w:val="00535283"/>
    <w:rsid w:val="00542C0F"/>
    <w:rsid w:val="005452AA"/>
    <w:rsid w:val="005563A1"/>
    <w:rsid w:val="00561867"/>
    <w:rsid w:val="00564DA5"/>
    <w:rsid w:val="0057779B"/>
    <w:rsid w:val="005837F6"/>
    <w:rsid w:val="00585789"/>
    <w:rsid w:val="005B0143"/>
    <w:rsid w:val="005B01BC"/>
    <w:rsid w:val="005B0523"/>
    <w:rsid w:val="005B3BDC"/>
    <w:rsid w:val="005B7F09"/>
    <w:rsid w:val="005C0086"/>
    <w:rsid w:val="005D234A"/>
    <w:rsid w:val="005D264F"/>
    <w:rsid w:val="005E0BA2"/>
    <w:rsid w:val="005F2230"/>
    <w:rsid w:val="005F5EFD"/>
    <w:rsid w:val="005F6436"/>
    <w:rsid w:val="00617BCF"/>
    <w:rsid w:val="0062156C"/>
    <w:rsid w:val="00625A73"/>
    <w:rsid w:val="00631C96"/>
    <w:rsid w:val="00634124"/>
    <w:rsid w:val="00641AEB"/>
    <w:rsid w:val="0064328A"/>
    <w:rsid w:val="006507E7"/>
    <w:rsid w:val="006513A9"/>
    <w:rsid w:val="00655884"/>
    <w:rsid w:val="006701D3"/>
    <w:rsid w:val="00677546"/>
    <w:rsid w:val="00681BC9"/>
    <w:rsid w:val="0068300C"/>
    <w:rsid w:val="00685F75"/>
    <w:rsid w:val="00686770"/>
    <w:rsid w:val="006876A2"/>
    <w:rsid w:val="006A6494"/>
    <w:rsid w:val="006A66E1"/>
    <w:rsid w:val="006B6BB8"/>
    <w:rsid w:val="006C0FE4"/>
    <w:rsid w:val="006C1524"/>
    <w:rsid w:val="006D0B52"/>
    <w:rsid w:val="006D0B5F"/>
    <w:rsid w:val="006F12BE"/>
    <w:rsid w:val="006F227B"/>
    <w:rsid w:val="00704430"/>
    <w:rsid w:val="00705624"/>
    <w:rsid w:val="00712206"/>
    <w:rsid w:val="00731B15"/>
    <w:rsid w:val="0075683A"/>
    <w:rsid w:val="007761C1"/>
    <w:rsid w:val="007A4DBA"/>
    <w:rsid w:val="007A5B7D"/>
    <w:rsid w:val="007A5EA9"/>
    <w:rsid w:val="007A667B"/>
    <w:rsid w:val="007B10F1"/>
    <w:rsid w:val="007B7C0C"/>
    <w:rsid w:val="007C1DEF"/>
    <w:rsid w:val="007C2DBE"/>
    <w:rsid w:val="007E3398"/>
    <w:rsid w:val="007E682A"/>
    <w:rsid w:val="007F6F04"/>
    <w:rsid w:val="00805066"/>
    <w:rsid w:val="008366F6"/>
    <w:rsid w:val="0085251F"/>
    <w:rsid w:val="008826F0"/>
    <w:rsid w:val="00886C86"/>
    <w:rsid w:val="0088718E"/>
    <w:rsid w:val="008964EB"/>
    <w:rsid w:val="008B2C31"/>
    <w:rsid w:val="008E0EAF"/>
    <w:rsid w:val="008E19BF"/>
    <w:rsid w:val="008E4C14"/>
    <w:rsid w:val="008E5140"/>
    <w:rsid w:val="008E76E3"/>
    <w:rsid w:val="008F3D35"/>
    <w:rsid w:val="008F735D"/>
    <w:rsid w:val="00900DE2"/>
    <w:rsid w:val="00933CAF"/>
    <w:rsid w:val="00937CBB"/>
    <w:rsid w:val="009447A7"/>
    <w:rsid w:val="00946F17"/>
    <w:rsid w:val="0095746A"/>
    <w:rsid w:val="009619BD"/>
    <w:rsid w:val="00963A7E"/>
    <w:rsid w:val="00964925"/>
    <w:rsid w:val="00965459"/>
    <w:rsid w:val="00965E3C"/>
    <w:rsid w:val="00990E8C"/>
    <w:rsid w:val="00996D24"/>
    <w:rsid w:val="009971F7"/>
    <w:rsid w:val="009A44E2"/>
    <w:rsid w:val="009A7E89"/>
    <w:rsid w:val="009B3268"/>
    <w:rsid w:val="009B4B4A"/>
    <w:rsid w:val="009B59AD"/>
    <w:rsid w:val="009B7CC3"/>
    <w:rsid w:val="009C2449"/>
    <w:rsid w:val="009C3CBB"/>
    <w:rsid w:val="009D17F6"/>
    <w:rsid w:val="009E04EF"/>
    <w:rsid w:val="009E2E90"/>
    <w:rsid w:val="009F50C2"/>
    <w:rsid w:val="00A00C25"/>
    <w:rsid w:val="00A11D89"/>
    <w:rsid w:val="00A2759C"/>
    <w:rsid w:val="00A41D6D"/>
    <w:rsid w:val="00A428B3"/>
    <w:rsid w:val="00A47B40"/>
    <w:rsid w:val="00A529F1"/>
    <w:rsid w:val="00A52A46"/>
    <w:rsid w:val="00A554C3"/>
    <w:rsid w:val="00A60B1F"/>
    <w:rsid w:val="00A64190"/>
    <w:rsid w:val="00A66F16"/>
    <w:rsid w:val="00A77222"/>
    <w:rsid w:val="00A904E6"/>
    <w:rsid w:val="00A94A32"/>
    <w:rsid w:val="00A96DA1"/>
    <w:rsid w:val="00AA69B8"/>
    <w:rsid w:val="00AB076B"/>
    <w:rsid w:val="00AB1716"/>
    <w:rsid w:val="00AF3C23"/>
    <w:rsid w:val="00B02280"/>
    <w:rsid w:val="00B052EE"/>
    <w:rsid w:val="00B16F9A"/>
    <w:rsid w:val="00B432A9"/>
    <w:rsid w:val="00B446BE"/>
    <w:rsid w:val="00B44937"/>
    <w:rsid w:val="00B70422"/>
    <w:rsid w:val="00B811A8"/>
    <w:rsid w:val="00B959DD"/>
    <w:rsid w:val="00B96F38"/>
    <w:rsid w:val="00B97ECF"/>
    <w:rsid w:val="00BB6BC2"/>
    <w:rsid w:val="00BC0899"/>
    <w:rsid w:val="00BC1AFD"/>
    <w:rsid w:val="00BC490D"/>
    <w:rsid w:val="00BC677A"/>
    <w:rsid w:val="00BD2040"/>
    <w:rsid w:val="00BD7688"/>
    <w:rsid w:val="00BE0A5C"/>
    <w:rsid w:val="00BE2370"/>
    <w:rsid w:val="00BF0D0D"/>
    <w:rsid w:val="00C11811"/>
    <w:rsid w:val="00C20614"/>
    <w:rsid w:val="00C32149"/>
    <w:rsid w:val="00C46ED4"/>
    <w:rsid w:val="00C5535F"/>
    <w:rsid w:val="00C704A0"/>
    <w:rsid w:val="00C70A67"/>
    <w:rsid w:val="00C738F2"/>
    <w:rsid w:val="00C912C4"/>
    <w:rsid w:val="00C94167"/>
    <w:rsid w:val="00C94B08"/>
    <w:rsid w:val="00CA4339"/>
    <w:rsid w:val="00CD2DF1"/>
    <w:rsid w:val="00CE0BE1"/>
    <w:rsid w:val="00CF2421"/>
    <w:rsid w:val="00CF5947"/>
    <w:rsid w:val="00CF59A0"/>
    <w:rsid w:val="00D00F9E"/>
    <w:rsid w:val="00D07607"/>
    <w:rsid w:val="00D14778"/>
    <w:rsid w:val="00D43070"/>
    <w:rsid w:val="00D46C8A"/>
    <w:rsid w:val="00D83448"/>
    <w:rsid w:val="00D85798"/>
    <w:rsid w:val="00D906C1"/>
    <w:rsid w:val="00D93ED3"/>
    <w:rsid w:val="00D94A2E"/>
    <w:rsid w:val="00DA0D8E"/>
    <w:rsid w:val="00DA448D"/>
    <w:rsid w:val="00DA541D"/>
    <w:rsid w:val="00DE0492"/>
    <w:rsid w:val="00DE37A7"/>
    <w:rsid w:val="00DE3B74"/>
    <w:rsid w:val="00DE6395"/>
    <w:rsid w:val="00DF2785"/>
    <w:rsid w:val="00DF7500"/>
    <w:rsid w:val="00E154A8"/>
    <w:rsid w:val="00E15A0B"/>
    <w:rsid w:val="00E242F6"/>
    <w:rsid w:val="00E32CEC"/>
    <w:rsid w:val="00E34450"/>
    <w:rsid w:val="00E43FF8"/>
    <w:rsid w:val="00E5779D"/>
    <w:rsid w:val="00E60061"/>
    <w:rsid w:val="00E7792B"/>
    <w:rsid w:val="00E854EA"/>
    <w:rsid w:val="00EA3CC8"/>
    <w:rsid w:val="00EA7B2B"/>
    <w:rsid w:val="00EB1C98"/>
    <w:rsid w:val="00ED1D83"/>
    <w:rsid w:val="00F01455"/>
    <w:rsid w:val="00F04ABD"/>
    <w:rsid w:val="00F11C78"/>
    <w:rsid w:val="00F15D27"/>
    <w:rsid w:val="00F16C5B"/>
    <w:rsid w:val="00F2440A"/>
    <w:rsid w:val="00F524FA"/>
    <w:rsid w:val="00F540FE"/>
    <w:rsid w:val="00F5740B"/>
    <w:rsid w:val="00F63BF2"/>
    <w:rsid w:val="00F640C9"/>
    <w:rsid w:val="00F654AE"/>
    <w:rsid w:val="00F74B84"/>
    <w:rsid w:val="00F7529A"/>
    <w:rsid w:val="00F860B6"/>
    <w:rsid w:val="00F9436B"/>
    <w:rsid w:val="00FC414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5097"/>
  <w15:chartTrackingRefBased/>
  <w15:docId w15:val="{B2EE72C4-B176-4E47-B168-B78661BC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BB8"/>
    <w:pPr>
      <w:tabs>
        <w:tab w:val="center" w:pos="4252"/>
        <w:tab w:val="right" w:pos="8504"/>
      </w:tabs>
      <w:spacing w:after="0" w:line="240" w:lineRule="auto"/>
    </w:pPr>
  </w:style>
  <w:style w:type="character" w:customStyle="1" w:styleId="HeaderChar">
    <w:name w:val="Header Char"/>
    <w:basedOn w:val="DefaultParagraphFont"/>
    <w:link w:val="Header"/>
    <w:uiPriority w:val="99"/>
    <w:rsid w:val="006B6BB8"/>
  </w:style>
  <w:style w:type="paragraph" w:styleId="Footer">
    <w:name w:val="footer"/>
    <w:basedOn w:val="Normal"/>
    <w:link w:val="FooterChar"/>
    <w:uiPriority w:val="99"/>
    <w:unhideWhenUsed/>
    <w:rsid w:val="006B6BB8"/>
    <w:pPr>
      <w:tabs>
        <w:tab w:val="center" w:pos="4252"/>
        <w:tab w:val="right" w:pos="8504"/>
      </w:tabs>
      <w:spacing w:after="0" w:line="240" w:lineRule="auto"/>
    </w:pPr>
  </w:style>
  <w:style w:type="character" w:customStyle="1" w:styleId="FooterChar">
    <w:name w:val="Footer Char"/>
    <w:basedOn w:val="DefaultParagraphFont"/>
    <w:link w:val="Footer"/>
    <w:uiPriority w:val="99"/>
    <w:rsid w:val="006B6BB8"/>
  </w:style>
  <w:style w:type="paragraph" w:styleId="ListParagraph">
    <w:name w:val="List Paragraph"/>
    <w:aliases w:val="Table Row Text,Use Case List Paragraph,LB,TOC style,lp1,Bullet List,FooterText,numbered,List Paragraph1,Paragraphe de liste1,Bulletr List Paragraph,????,????1,List Paragraph2,List Paragraph21,Párrafo de lista1,Parágrafo da Lista1"/>
    <w:basedOn w:val="Normal"/>
    <w:link w:val="ListParagraphChar"/>
    <w:uiPriority w:val="34"/>
    <w:qFormat/>
    <w:rsid w:val="006B6BB8"/>
    <w:pPr>
      <w:ind w:left="720"/>
      <w:contextualSpacing/>
    </w:pPr>
  </w:style>
  <w:style w:type="character" w:styleId="CommentReference">
    <w:name w:val="annotation reference"/>
    <w:basedOn w:val="DefaultParagraphFont"/>
    <w:uiPriority w:val="99"/>
    <w:semiHidden/>
    <w:unhideWhenUsed/>
    <w:rsid w:val="00E43FF8"/>
    <w:rPr>
      <w:sz w:val="16"/>
      <w:szCs w:val="16"/>
    </w:rPr>
  </w:style>
  <w:style w:type="paragraph" w:styleId="CommentText">
    <w:name w:val="annotation text"/>
    <w:basedOn w:val="Normal"/>
    <w:link w:val="CommentTextChar"/>
    <w:uiPriority w:val="99"/>
    <w:semiHidden/>
    <w:unhideWhenUsed/>
    <w:rsid w:val="00E43FF8"/>
    <w:pPr>
      <w:spacing w:line="240" w:lineRule="auto"/>
    </w:pPr>
    <w:rPr>
      <w:sz w:val="20"/>
      <w:szCs w:val="20"/>
    </w:rPr>
  </w:style>
  <w:style w:type="character" w:customStyle="1" w:styleId="CommentTextChar">
    <w:name w:val="Comment Text Char"/>
    <w:basedOn w:val="DefaultParagraphFont"/>
    <w:link w:val="CommentText"/>
    <w:uiPriority w:val="99"/>
    <w:semiHidden/>
    <w:rsid w:val="00E43FF8"/>
    <w:rPr>
      <w:sz w:val="20"/>
      <w:szCs w:val="20"/>
    </w:rPr>
  </w:style>
  <w:style w:type="paragraph" w:styleId="CommentSubject">
    <w:name w:val="annotation subject"/>
    <w:basedOn w:val="CommentText"/>
    <w:next w:val="CommentText"/>
    <w:link w:val="CommentSubjectChar"/>
    <w:uiPriority w:val="99"/>
    <w:semiHidden/>
    <w:unhideWhenUsed/>
    <w:rsid w:val="00E43FF8"/>
    <w:rPr>
      <w:b/>
      <w:bCs/>
    </w:rPr>
  </w:style>
  <w:style w:type="character" w:customStyle="1" w:styleId="CommentSubjectChar">
    <w:name w:val="Comment Subject Char"/>
    <w:basedOn w:val="CommentTextChar"/>
    <w:link w:val="CommentSubject"/>
    <w:uiPriority w:val="99"/>
    <w:semiHidden/>
    <w:rsid w:val="00E43FF8"/>
    <w:rPr>
      <w:b/>
      <w:bCs/>
      <w:sz w:val="20"/>
      <w:szCs w:val="20"/>
    </w:rPr>
  </w:style>
  <w:style w:type="table" w:styleId="TableGrid">
    <w:name w:val="Table Grid"/>
    <w:basedOn w:val="TableNormal"/>
    <w:uiPriority w:val="39"/>
    <w:rsid w:val="00E57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779D"/>
    <w:rPr>
      <w:color w:val="0563C1" w:themeColor="hyperlink"/>
      <w:u w:val="single"/>
    </w:rPr>
  </w:style>
  <w:style w:type="character" w:styleId="UnresolvedMention">
    <w:name w:val="Unresolved Mention"/>
    <w:basedOn w:val="DefaultParagraphFont"/>
    <w:uiPriority w:val="99"/>
    <w:semiHidden/>
    <w:unhideWhenUsed/>
    <w:rsid w:val="00E5779D"/>
    <w:rPr>
      <w:color w:val="605E5C"/>
      <w:shd w:val="clear" w:color="auto" w:fill="E1DFDD"/>
    </w:rPr>
  </w:style>
  <w:style w:type="paragraph" w:styleId="BodyText">
    <w:name w:val="Body Text"/>
    <w:basedOn w:val="Normal"/>
    <w:link w:val="BodyTextChar"/>
    <w:uiPriority w:val="1"/>
    <w:qFormat/>
    <w:rsid w:val="0032104C"/>
    <w:pPr>
      <w:widowControl w:val="0"/>
      <w:autoSpaceDE w:val="0"/>
      <w:autoSpaceDN w:val="0"/>
      <w:spacing w:after="0" w:line="240" w:lineRule="auto"/>
      <w:ind w:left="170"/>
    </w:pPr>
    <w:rPr>
      <w:rFonts w:eastAsia="Tahoma"/>
      <w:sz w:val="21"/>
      <w:szCs w:val="21"/>
    </w:rPr>
  </w:style>
  <w:style w:type="character" w:customStyle="1" w:styleId="BodyTextChar">
    <w:name w:val="Body Text Char"/>
    <w:basedOn w:val="DefaultParagraphFont"/>
    <w:link w:val="BodyText"/>
    <w:uiPriority w:val="1"/>
    <w:rsid w:val="0032104C"/>
    <w:rPr>
      <w:rFonts w:eastAsia="Tahoma"/>
      <w:sz w:val="21"/>
      <w:szCs w:val="21"/>
    </w:rPr>
  </w:style>
  <w:style w:type="paragraph" w:styleId="Revision">
    <w:name w:val="Revision"/>
    <w:hidden/>
    <w:uiPriority w:val="99"/>
    <w:semiHidden/>
    <w:rsid w:val="002A724D"/>
    <w:pPr>
      <w:spacing w:after="0" w:line="240" w:lineRule="auto"/>
    </w:pPr>
  </w:style>
  <w:style w:type="character" w:customStyle="1" w:styleId="ListParagraphChar">
    <w:name w:val="List Paragraph Char"/>
    <w:aliases w:val="Table Row Text Char,Use Case List Paragraph Char,LB Char,TOC style Char,lp1 Char,Bullet List Char,FooterText Char,numbered Char,List Paragraph1 Char,Paragraphe de liste1 Char,Bulletr List Paragraph Char,???? Char,????1 Char"/>
    <w:link w:val="ListParagraph"/>
    <w:uiPriority w:val="34"/>
    <w:locked/>
    <w:rsid w:val="00F1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ntroarbitragemlisboa.pt" TargetMode="External"/><Relationship Id="rId18" Type="http://schemas.openxmlformats.org/officeDocument/2006/relationships/hyperlink" Target="http://www.consumidor.gov.p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centrodearbitragemdecoimbra.com" TargetMode="External"/><Relationship Id="rId17" Type="http://schemas.openxmlformats.org/officeDocument/2006/relationships/hyperlink" Target="http://arbitragem.autonoma.pt" TargetMode="External"/><Relationship Id="rId2" Type="http://schemas.openxmlformats.org/officeDocument/2006/relationships/customXml" Target="../customXml/item2.xml"/><Relationship Id="rId16" Type="http://schemas.openxmlformats.org/officeDocument/2006/relationships/hyperlink" Target="http://www.ciab.p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sumidoronline.pt" TargetMode="External"/><Relationship Id="rId5" Type="http://schemas.openxmlformats.org/officeDocument/2006/relationships/styles" Target="styles.xml"/><Relationship Id="rId15" Type="http://schemas.openxmlformats.org/officeDocument/2006/relationships/hyperlink" Target="http://www.triave.pt" TargetMode="External"/><Relationship Id="rId23" Type="http://schemas.openxmlformats.org/officeDocument/2006/relationships/theme" Target="theme/theme1.xml"/><Relationship Id="rId10" Type="http://schemas.openxmlformats.org/officeDocument/2006/relationships/hyperlink" Target="https://www.cniacc.pt/pt/)www.arbitragemdeconsumo.or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icap.p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6F3F761279CE048B4084FCAD20B5944" ma:contentTypeVersion="16" ma:contentTypeDescription="Criar um novo documento." ma:contentTypeScope="" ma:versionID="6f40b3e51190b4f0fb42542266febc77">
  <xsd:schema xmlns:xsd="http://www.w3.org/2001/XMLSchema" xmlns:xs="http://www.w3.org/2001/XMLSchema" xmlns:p="http://schemas.microsoft.com/office/2006/metadata/properties" xmlns:ns2="68642395-35cf-4727-a603-879a30521240" xmlns:ns3="c47704bb-8fd1-4ff6-a6d6-b9c55db0045a" targetNamespace="http://schemas.microsoft.com/office/2006/metadata/properties" ma:root="true" ma:fieldsID="50403b3979f3bf3833200e558dc716f6" ns2:_="" ns3:_="">
    <xsd:import namespace="68642395-35cf-4727-a603-879a30521240"/>
    <xsd:import namespace="c47704bb-8fd1-4ff6-a6d6-b9c55db00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2395-35cf-4727-a603-879a30521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m" ma:readOnly="false" ma:fieldId="{5cf76f15-5ced-4ddc-b409-7134ff3c332f}" ma:taxonomyMulti="true" ma:sspId="b4beeba0-ef8e-45d0-89c4-52293c1ae5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704bb-8fd1-4ff6-a6d6-b9c55db004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c9e5a4e-5c01-4a8f-b032-78fa41604dd1}" ma:internalName="TaxCatchAll" ma:showField="CatchAllData" ma:web="c47704bb-8fd1-4ff6-a6d6-b9c55db004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642395-35cf-4727-a603-879a30521240">
      <Terms xmlns="http://schemas.microsoft.com/office/infopath/2007/PartnerControls"/>
    </lcf76f155ced4ddcb4097134ff3c332f>
    <TaxCatchAll xmlns="c47704bb-8fd1-4ff6-a6d6-b9c55db0045a" xsi:nil="true"/>
  </documentManagement>
</p:properties>
</file>

<file path=customXml/itemProps1.xml><?xml version="1.0" encoding="utf-8"?>
<ds:datastoreItem xmlns:ds="http://schemas.openxmlformats.org/officeDocument/2006/customXml" ds:itemID="{35EB87B6-4C25-4DFF-B9AE-9131C4ECFC5D}">
  <ds:schemaRefs>
    <ds:schemaRef ds:uri="http://schemas.microsoft.com/sharepoint/v3/contenttype/forms"/>
  </ds:schemaRefs>
</ds:datastoreItem>
</file>

<file path=customXml/itemProps2.xml><?xml version="1.0" encoding="utf-8"?>
<ds:datastoreItem xmlns:ds="http://schemas.openxmlformats.org/officeDocument/2006/customXml" ds:itemID="{80266A14-2C89-43B7-ACB7-298840E837BD}"/>
</file>

<file path=customXml/itemProps3.xml><?xml version="1.0" encoding="utf-8"?>
<ds:datastoreItem xmlns:ds="http://schemas.openxmlformats.org/officeDocument/2006/customXml" ds:itemID="{AFBF75BA-F1AB-4E43-B1E1-881EBD598EFB}">
  <ds:schemaRefs>
    <ds:schemaRef ds:uri="http://schemas.microsoft.com/office/2006/metadata/properties"/>
    <ds:schemaRef ds:uri="http://schemas.microsoft.com/office/infopath/2007/PartnerControls"/>
    <ds:schemaRef ds:uri="612b74ed-962e-41e8-beb5-5100be64ff74"/>
    <ds:schemaRef ds:uri="347f05f3-38f0-418e-adfb-867a5d00093b"/>
  </ds:schemaRefs>
</ds:datastoreItem>
</file>

<file path=docMetadata/LabelInfo.xml><?xml version="1.0" encoding="utf-8"?>
<clbl:labelList xmlns:clbl="http://schemas.microsoft.com/office/2020/mipLabelMetadata">
  <clbl:label id="{b919f50a-8d90-422f-8e1c-6918bbeb3e58}" enabled="1" method="Standard" siteId="{b9418667-dc3e-4da9-8081-b0750534a347}" removed="0"/>
</clbl:labelList>
</file>

<file path=docProps/app.xml><?xml version="1.0" encoding="utf-8"?>
<Properties xmlns="http://schemas.openxmlformats.org/officeDocument/2006/extended-properties" xmlns:vt="http://schemas.openxmlformats.org/officeDocument/2006/docPropsVTypes">
  <Template>Normal</Template>
  <TotalTime>16</TotalTime>
  <Pages>1</Pages>
  <Words>3632</Words>
  <Characters>19619</Characters>
  <Application>Microsoft Office Word</Application>
  <DocSecurity>0</DocSecurity>
  <Lines>163</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Maria Falcão</dc:creator>
  <cp:keywords/>
  <dc:description/>
  <cp:lastModifiedBy>Carlos Orlando Queiróz</cp:lastModifiedBy>
  <cp:revision>5</cp:revision>
  <dcterms:created xsi:type="dcterms:W3CDTF">2023-10-12T15:52:00Z</dcterms:created>
  <dcterms:modified xsi:type="dcterms:W3CDTF">2023-10-12T15:58:00Z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9,a,b</vt:lpwstr>
  </property>
  <property fmtid="{D5CDD505-2E9C-101B-9397-08002B2CF9AE}" pid="3" name="ClassificationContentMarkingHeaderFontProps">
    <vt:lpwstr>#000000,10,Canaro Light</vt:lpwstr>
  </property>
  <property fmtid="{D5CDD505-2E9C-101B-9397-08002B2CF9AE}" pid="4" name="ClassificationContentMarkingHeaderText">
    <vt:lpwstr>Uso Interno</vt:lpwstr>
  </property>
  <property fmtid="{D5CDD505-2E9C-101B-9397-08002B2CF9AE}" pid="5" name="ContentTypeId">
    <vt:lpwstr>0x010100DA874FEF24FCF145BB800C60605448BE</vt:lpwstr>
  </property>
</Properties>
</file>